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jc w:val="center"/>
      </w:pPr>
      <w:r>
        <w:rPr>
          <w:b/>
          <w:bCs/>
          <w:color w:val="5B8A72"/>
          <w:spacing w:val="60"/>
          <w:sz w:val="28"/>
          <w:szCs w:val="28"/>
        </w:rPr>
        <w:t xml:space="preserve">ONIONIO</w:t>
      </w:r>
    </w:p>
    <w:p>
      <w:pPr>
        <w:spacing w:after="600"/>
        <w:jc w:val="center"/>
      </w:pPr>
      <w:r>
        <w:rPr>
          <w:i/>
          <w:iCs/>
          <w:color w:val="78909C"/>
          <w:sz w:val="18"/>
          <w:szCs w:val="18"/>
        </w:rPr>
        <w:t xml:space="preserve">Private, self-hostable AI security</w:t>
      </w:r>
    </w:p>
    <w:p>
      <w:pPr>
        <w:pBdr>
          <w:top w:val="single" w:color="5B8A72" w:sz="12" w:space="8"/>
        </w:pBdr>
        <w:spacing w:after="60" w:before="600"/>
        <w:jc w:val="center"/>
      </w:pPr>
      <w:r>
        <w:rPr>
          <w:b/>
          <w:bCs/>
          <w:color w:val="2E4756"/>
          <w:sz w:val="48"/>
          <w:szCs w:val="48"/>
        </w:rPr>
        <w:t xml:space="preserve">Acceptable Use of Artificial Intelligence in IT</w:t>
      </w:r>
    </w:p>
    <w:p>
      <w:pPr>
        <w:pBdr>
          <w:bottom w:val="single" w:color="5B8A72" w:sz="12" w:space="8"/>
        </w:pBdr>
        <w:spacing w:after="40"/>
        <w:jc w:val="center"/>
      </w:pPr>
      <w:r>
        <w:rPr>
          <w:color w:val="546E7A"/>
          <w:sz w:val="26"/>
          <w:szCs w:val="26"/>
        </w:rPr>
        <w:t xml:space="preserve">Information Security Policy</w:t>
      </w:r>
    </w:p>
    <w:p>
      <w:pPr>
        <w:spacing w:after="0" w:before="480"/>
        <w:jc w:val="center"/>
      </w:pPr>
      <w:r>
        <w:rPr>
          <w:b/>
          <w:bCs/>
          <w:color w:val="2E4756"/>
          <w:sz w:val="32"/>
          <w:szCs w:val="32"/>
        </w:rPr>
        <w:t xml:space="preserve">{Company Name}</w:t>
      </w:r>
    </w:p>
    <w:p>
      <w:pPr>
        <w:spacing w:after="800" w:before="80"/>
        <w:jc w:val="center"/>
      </w:pPr>
      <w:r>
        <w:rPr>
          <w:color w:val="546E7A"/>
          <w:sz w:val="22"/>
          <w:szCs w:val="22"/>
        </w:rPr>
        <w:t xml:space="preserve">Version 1.0 (Adoption Draft)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Field</w:t>
            </w:r>
          </w:p>
        </w:tc>
        <w:tc>
          <w:tcPr>
            <w:tcW w:type="dxa" w:w="67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Value</w:t>
            </w:r>
          </w:p>
        </w:tc>
      </w:tr>
      <w:tr>
        <w:tc>
          <w:tcPr>
            <w:tcW w:type="dxa" w:w="26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Document title</w:t>
            </w:r>
          </w:p>
        </w:tc>
        <w:tc>
          <w:tcPr>
            <w:tcW w:type="dxa" w:w="67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Acceptable Use of AI in IT</w:t>
            </w:r>
          </w:p>
        </w:tc>
      </w:tr>
      <w:tr>
        <w:tc>
          <w:tcPr>
            <w:tcW w:type="dxa" w:w="26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Owner</w:t>
            </w:r>
          </w:p>
        </w:tc>
        <w:tc>
          <w:tcPr>
            <w:tcW w:type="dxa" w:w="67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{Policy Owner — e.g. CISO / Head of Information Security}</w:t>
            </w:r>
          </w:p>
        </w:tc>
      </w:tr>
      <w:tr>
        <w:tc>
          <w:tcPr>
            <w:tcW w:type="dxa" w:w="26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Approved by</w:t>
            </w:r>
          </w:p>
        </w:tc>
        <w:tc>
          <w:tcPr>
            <w:tcW w:type="dxa" w:w="67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{Approver — e.g. SIRO / Executive Sponsor}</w:t>
            </w:r>
          </w:p>
        </w:tc>
      </w:tr>
      <w:tr>
        <w:tc>
          <w:tcPr>
            <w:tcW w:type="dxa" w:w="26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Classification</w:t>
            </w:r>
          </w:p>
        </w:tc>
        <w:tc>
          <w:tcPr>
            <w:tcW w:type="dxa" w:w="67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Internal</w:t>
            </w:r>
          </w:p>
        </w:tc>
      </w:tr>
      <w:tr>
        <w:tc>
          <w:tcPr>
            <w:tcW w:type="dxa" w:w="26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Version</w:t>
            </w:r>
          </w:p>
        </w:tc>
        <w:tc>
          <w:tcPr>
            <w:tcW w:type="dxa" w:w="67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1.0 (Adoption Draft)</w:t>
            </w:r>
          </w:p>
        </w:tc>
      </w:tr>
      <w:tr>
        <w:tc>
          <w:tcPr>
            <w:tcW w:type="dxa" w:w="26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Effective date</w:t>
            </w:r>
          </w:p>
        </w:tc>
        <w:tc>
          <w:tcPr>
            <w:tcW w:type="dxa" w:w="67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{Effective date}</w:t>
            </w:r>
          </w:p>
        </w:tc>
      </w:tr>
      <w:tr>
        <w:tc>
          <w:tcPr>
            <w:tcW w:type="dxa" w:w="26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Next review</w:t>
            </w:r>
          </w:p>
        </w:tc>
        <w:tc>
          <w:tcPr>
            <w:tcW w:type="dxa" w:w="67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{Effective date + 12 months}</w:t>
            </w:r>
          </w:p>
        </w:tc>
      </w:tr>
      <w:tr>
        <w:tc>
          <w:tcPr>
            <w:tcW w:type="dxa" w:w="26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Applies to</w:t>
            </w:r>
          </w:p>
        </w:tc>
        <w:tc>
          <w:tcPr>
            <w:tcW w:type="dxa" w:w="67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All workers of {Company Name}</w:t>
            </w:r>
          </w:p>
        </w:tc>
      </w:tr>
    </w:tbl>
    <w:p>
      <w:pPr>
        <w:spacing w:before="600"/>
        <w:jc w:val="center"/>
      </w:pPr>
      <w:r>
        <w:rPr>
          <w:b/>
          <w:bCs/>
          <w:i/>
          <w:iCs/>
          <w:color w:val="C0392B"/>
          <w:sz w:val="18"/>
          <w:szCs w:val="18"/>
        </w:rPr>
        <w:t xml:space="preserve">TEMPLATE FOR ADOPTION — requires customer completion and legal sign-off before publication. Not legal advice.</w:t>
      </w:r>
    </w:p>
    <w:p>
      <w:pPr>
        <w:sectPr>
          <w:pgSz w:w="12240" w:h="15840" w:orient="portrait"/>
          <w:pgMar w:top="1440" w:right="1440" w:bottom="1440" w:left="1440" w:header="708" w:footer="708" w:gutter="0"/>
          <w:pgNumType/>
          <w:titlePg w:val="false"/>
          <w:docGrid w:linePitch="360"/>
        </w:sectPr>
      </w:pPr>
    </w:p>
    <w:p>
      <w:pPr>
        <w:pStyle w:val="Heading1"/>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Adoption notice — read before publishing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4"/>
              <w:left w:val="single" w:color="C0392B" w:sz="16"/>
              <w:bottom w:val="single" w:color="C0392B" w:sz="4"/>
              <w:right w:val="single" w:color="C0392B" w:sz="4"/>
            </w:tcBorders>
            <w:shd w:fill="FBE9E7" w:val="clear"/>
            <w:tcMar>
              <w:top w:type="dxa" w:w="120"/>
              <w:left w:type="dxa" w:w="160"/>
              <w:bottom w:type="dxa" w:w="120"/>
              <w:right w:type="dxa" w:w="160"/>
            </w:tcMar>
          </w:tcPr>
          <w:p>
            <w:pPr>
              <w:spacing w:after="60"/>
            </w:pPr>
            <w:r>
              <w:rPr>
                <w:b/>
                <w:bCs/>
                <w:color w:val="C0392B"/>
                <w:sz w:val="20"/>
                <w:szCs w:val="20"/>
              </w:rPr>
              <w:t xml:space="preserve">This is a ready-to-adopt template — not legal advice.</w:t>
            </w:r>
          </w:p>
          <w:p>
            <w:pPr>
              <w:spacing w:after="40" w:line="264"/>
            </w:pPr>
            <w:r>
              <w:t xml:space="preserve">This document was produced by Onionio to be enforceable, auditable and standards-mapped, but it is </w:t>
            </w:r>
            <w:r>
              <w:rPr>
                <w:b/>
                <w:bCs/>
              </w:rPr>
              <w:t xml:space="preserve">not legal advice</w:t>
            </w:r>
            <w:r>
              <w:t xml:space="preserve">. Before {Company Name} publishes it, the items in Section 19 (Adoption checklist) must be completed and the document must be reviewed and signed off by a qualified legal/data-protection adviser. Every placeholder shown as {like this} must be replaced.</w:t>
            </w:r>
          </w:p>
        </w:tc>
      </w:tr>
    </w:tbl>
    <w:p>
      <w:pPr>
        <w:pStyle w:val="Heading1"/>
      </w:pPr>
      <w:r>
        <w:t xml:space="preserve">Document control</w:t>
      </w:r>
    </w:p>
    <w:p>
      <w:pPr>
        <w:pStyle w:val="Heading2"/>
      </w:pPr>
      <w:r>
        <w:t xml:space="preserve">Version and 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800"/>
        <w:gridCol w:w="1800"/>
        <w:gridCol w:w="3260"/>
      </w:tblGrid>
      <w:tr>
        <w:trPr>
          <w:tblHeader/>
        </w:trPr>
        <w:tc>
          <w:tcPr>
            <w:tcW w:type="dxa" w:w="11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Version</w:t>
            </w:r>
          </w:p>
        </w:tc>
        <w:tc>
          <w:tcPr>
            <w:tcW w:type="dxa" w:w="14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Date</w:t>
            </w:r>
          </w:p>
        </w:tc>
        <w:tc>
          <w:tcPr>
            <w:tcW w:type="dxa" w:w="18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Author</w:t>
            </w:r>
          </w:p>
        </w:tc>
        <w:tc>
          <w:tcPr>
            <w:tcW w:type="dxa" w:w="18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Approved by</w:t>
            </w:r>
          </w:p>
        </w:tc>
        <w:tc>
          <w:tcPr>
            <w:tcW w:type="dxa" w:w="32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Summary of change</w:t>
            </w:r>
          </w:p>
        </w:tc>
      </w:tr>
      <w:tr>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0.1</w:t>
            </w:r>
          </w:p>
        </w:tc>
        <w:tc>
          <w:tcPr>
            <w:tcW w:type="dxa" w:w="1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{Date}</w:t>
            </w:r>
          </w:p>
        </w:tc>
        <w:tc>
          <w:tcPr>
            <w:tcW w:type="dxa" w:w="1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Onionio</w:t>
            </w:r>
          </w:p>
        </w:tc>
        <w:tc>
          <w:tcPr>
            <w:tcW w:type="dxa" w:w="1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c>
          <w:tcPr>
            <w:tcW w:type="dxa" w:w="32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Initial template drafted from the “Safe AI in IT” framework.</w:t>
            </w:r>
          </w:p>
        </w:tc>
      </w:tr>
      <w:tr>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1.0</w:t>
            </w:r>
          </w:p>
        </w:tc>
        <w:tc>
          <w:tcPr>
            <w:tcW w:type="dxa" w:w="1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{Effective date}</w:t>
            </w:r>
          </w:p>
        </w:tc>
        <w:tc>
          <w:tcPr>
            <w:tcW w:type="dxa" w:w="1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{Policy Owner}</w:t>
            </w:r>
          </w:p>
        </w:tc>
        <w:tc>
          <w:tcPr>
            <w:tcW w:type="dxa" w:w="1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{Approver}</w:t>
            </w:r>
          </w:p>
        </w:tc>
        <w:tc>
          <w:tcPr>
            <w:tcW w:type="dxa" w:w="32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Adopted by {Company Name}: placeholders completed and legal sign-off obtained.</w:t>
            </w:r>
          </w:p>
        </w:tc>
      </w:tr>
      <w:tr>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{1.1}</w:t>
            </w:r>
          </w:p>
        </w:tc>
        <w:tc>
          <w:tcPr>
            <w:tcW w:type="dxa" w:w="1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{Date}</w:t>
            </w:r>
          </w:p>
        </w:tc>
        <w:tc>
          <w:tcPr>
            <w:tcW w:type="dxa" w:w="1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{Policy Owner}</w:t>
            </w:r>
          </w:p>
        </w:tc>
        <w:tc>
          <w:tcPr>
            <w:tcW w:type="dxa" w:w="1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{Approver}</w:t>
            </w:r>
          </w:p>
        </w:tc>
        <w:tc>
          <w:tcPr>
            <w:tcW w:type="dxa" w:w="32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{Next revision — record changes here.}</w:t>
            </w:r>
          </w:p>
        </w:tc>
      </w:tr>
    </w:tbl>
    <w:p>
      <w:pPr>
        <w:spacing w:after="120" w:before="80" w:line="276"/>
      </w:pPr>
      <w:r>
        <w:rPr>
          <w:i/>
          <w:iCs/>
          <w:sz w:val="18"/>
          <w:szCs w:val="18"/>
        </w:rPr>
        <w:t xml:space="preserve">Distribution: All workers of {Company Name}.  Storage of record copy: {policy repository / location}.</w:t>
      </w:r>
    </w:p>
    <w:p>
      <w:pPr>
        <w:pStyle w:val="Heading1"/>
      </w:pPr>
      <w:r>
        <w:t xml:space="preserve">1. Purpose and scope</w:t>
      </w:r>
    </w:p>
    <w:p>
      <w:pPr>
        <w:pStyle w:val="Heading2"/>
      </w:pPr>
      <w:r>
        <w:t xml:space="preserve">1.1 Purpose</w:t>
      </w:r>
    </w:p>
    <w:p>
      <w:pPr>
        <w:spacing w:after="120" w:line="276"/>
      </w:pPr>
      <w:r>
        <w:t xml:space="preserve">Artificial intelligence (AI) tools — large language models, AI coding assistants and AI agents — can make IT work faster, but used without control they create real and immediate risks: leaking sensitive data to third parties, running destructive changes on live systems, shipping insecure or plausibly-wrong code, and leaving {Company Name} unable to evidence compliance when a regulator or auditor asks. This policy exists to capture the benefit of AI while removing that exposure. Its purpose is to set the </w:t>
      </w:r>
      <w:r>
        <w:rPr>
          <w:b/>
          <w:bCs/>
        </w:rPr>
        <w:t xml:space="preserve">mandatory</w:t>
      </w:r>
      <w:r>
        <w:t xml:space="preserve"> rules for how AI may and may not be used in IT at {Company Name}, so that AI use is </w:t>
      </w:r>
      <w:r>
        <w:rPr>
          <w:b/>
          <w:bCs/>
        </w:rPr>
        <w:t xml:space="preserve">sanctioned, governed and — wherever practical — private/on-premises</w:t>
      </w:r>
      <w:r>
        <w:t xml:space="preserve">.</w:t>
      </w:r>
    </w:p>
    <w:p>
      <w:pPr>
        <w:pStyle w:val="Heading2"/>
      </w:pPr>
      <w:r>
        <w:t xml:space="preserve">1.2 Scope — who</w:t>
      </w:r>
    </w:p>
    <w:p>
      <w:pPr>
        <w:spacing w:after="120" w:line="276"/>
      </w:pPr>
      <w:r>
        <w:t xml:space="preserve">This policy applies to </w:t>
      </w:r>
      <w:r>
        <w:rPr>
          <w:b/>
          <w:bCs/>
        </w:rPr>
        <w:t xml:space="preserve">all workers of {Company Name}</w:t>
      </w:r>
      <w:r>
        <w:t xml:space="preserve">: employees, contractors, temporary staff, interns, and third parties or suppliers who use AI tools in connection with {Company Name}'s systems, data or services. It applies whether the AI tool is accessed on a corporate device or a personal one, and whether through a corporate account or a personal account.</w:t>
      </w:r>
    </w:p>
    <w:p>
      <w:pPr>
        <w:pStyle w:val="Heading2"/>
      </w:pPr>
      <w:r>
        <w:t xml:space="preserve">1.3 Scope — what</w:t>
      </w:r>
    </w:p>
    <w:p>
      <w:pPr>
        <w:spacing w:after="120" w:line="276"/>
      </w:pPr>
      <w:r>
        <w:t xml:space="preserve">This policy covers all use of AI tools for IT and engineering activities, including but not limited to: generating, reviewing or refactoring code; generating commands, scripts or infrastructure changes; debugging, summarising logs/configs; drafting documentation; and any use of agentic AI that can take actions on systems. It covers public/consumer AI, sanctioned AI and private/on-prem AI alike.</w:t>
      </w:r>
    </w:p>
    <w:p>
      <w:pPr>
        <w:pStyle w:val="Heading2"/>
      </w:pPr>
      <w:r>
        <w:t xml:space="preserve">1.4 Scope — which systems and data</w:t>
      </w:r>
    </w:p>
    <w:p>
      <w:pPr>
        <w:spacing w:after="120" w:line="276"/>
      </w:pPr>
      <w:r>
        <w:t xml:space="preserve">This policy applies to all {Company Name} information and information assets, and to all environments (production, test, development) and infrastructure that IT operates or supports. Section 6 sets out the classes of information and the handling rules for each.</w:t>
      </w:r>
    </w:p>
    <w:p>
      <w:pPr>
        <w:pStyle w:val="Heading2"/>
      </w:pPr>
      <w:r>
        <w:t xml:space="preserve">1.5 Relationship to other policies</w:t>
      </w:r>
    </w:p>
    <w:p>
      <w:pPr>
        <w:spacing w:after="120" w:line="276"/>
      </w:pPr>
      <w:r>
        <w:t xml:space="preserve">This policy sits beneath {Company Name}'s overarching Information Security Policy and complements the Acceptable Use Policy, Data Protection / Privacy Policy, Secure Development standards, Change Management process and Incident Response (IR) plan. Where this policy is stricter than a general policy on AI matters, this policy prevails. {Confirm cross-references and the names of these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8A72" w:sz="4"/>
              <w:left w:val="single" w:color="5B8A72" w:sz="16"/>
              <w:bottom w:val="single" w:color="5B8A72" w:sz="4"/>
              <w:right w:val="single" w:color="5B8A72" w:sz="4"/>
            </w:tcBorders>
            <w:shd w:fill="E8F0EE" w:val="clear"/>
            <w:tcMar>
              <w:top w:type="dxa" w:w="120"/>
              <w:left w:type="dxa" w:w="160"/>
              <w:bottom w:type="dxa" w:w="120"/>
              <w:right w:type="dxa" w:w="160"/>
            </w:tcMar>
          </w:tcPr>
          <w:p>
            <w:pPr>
              <w:spacing w:after="60"/>
            </w:pPr>
            <w:r>
              <w:rPr>
                <w:b/>
                <w:bCs/>
                <w:color w:val="5B8A72"/>
                <w:sz w:val="20"/>
                <w:szCs w:val="20"/>
              </w:rPr>
              <w:t xml:space="preserve">Standards anchor</w:t>
            </w:r>
          </w:p>
          <w:p>
            <w:pPr>
              <w:spacing w:after="40" w:line="264"/>
            </w:pPr>
            <w:r>
              <w:t xml:space="preserve">This policy and its controls are mapped to ISO/IEC 27001:2022 Annex A, ISO/IEC 42001:2023, the NIST AI Risk Management Framework, and UK GDPR / Data Protection Act 2018 (ICO) and NCSC guidance. See Appendix A — Framework control mapping.</w:t>
            </w:r>
          </w:p>
        </w:tc>
      </w:tr>
    </w:tbl>
    <w:p>
      <w:pPr>
        <w:pStyle w:val="Heading1"/>
      </w:pPr>
      <w:r>
        <w:t xml:space="preserve">2. Definitions</w:t>
      </w:r>
    </w:p>
    <w:p>
      <w:pPr>
        <w:spacing w:after="120" w:line="276"/>
      </w:pPr>
      <w:r>
        <w:t xml:space="preserve">The following definitions are authoritative for this policy. They are aligned to {Company Name}'s AI awareness training so that staff meet the same language everywhere.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Term</w:t>
            </w:r>
          </w:p>
        </w:tc>
        <w:tc>
          <w:tcPr>
            <w:tcW w:type="dxa" w:w="69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Definition</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Public / consumer LLM</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 large language model offered as a general consumer service (e.g. the free or personal tiers of ChatGPT, Gemini, Claude, Copilot) where, under the standard terms, inputs may be retained, processed by third parties and used to improve the model, with no organisation-specific data processing agreement.</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Sanctioned AI</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An AI tool formally approved for organisational use because it meets defined requirements — at minimum contractual no-training terms and a signed data processing agreement (DPA), or it is self-hosted/private — and is accessed through an approved route.</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Private / on-prem AI</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An AI capability hosted within the organisation's own boundary (on-premises or in a controlled private environment) so that prompts and data never leave that boundary and are not exposed to a third-party provider. The lowest-exposure sanctioned option.</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Approved AI gateway</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 controlled entry point through which sanctioned AI is accessed, enabling the organisation to enforce policy — logging, data-loss prevention, secret/PII protection and access control — on all AI interactions.</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Shadow AI</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Use of AI tools that the organisation has not approved, cannot see and does not govern — typically public/consumer tools accessed through personal accounts, outside any policy, logging or DLP.</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Agentic AI</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An AI system that does not just produce text but can take actions on its own — calling tools, running commands or making changes — sometimes chaining multiple steps. The autonomy raises the stakes of both wrong output and prompt injection.</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Prompt injection</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An attack where instructions hidden in content the model processes (a web page, document, email or ticket) hijack its behaviour, because an LLM cannot reliably separate instructions from data. The NCSC regards it as intrinsic to LLMs and not fully eliminable.</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Slopsquatting</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 supply-chain attack that exploits AI 'package hallucinations': because models invent plausible package names that recur predictably, attackers pre-register those names on public registries with malware, so anyone who runs the AI-suggested install line pulls in hostile code.</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Hallucination</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When an LLM produces output that is fluent and confident but factually wrong or entirely invented — a wrong command flag, a non-existent package, or a fabricated policy — because it predicts plausible text, not verified truth.</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Human-in-the-loop</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 control requiring a competent human to review and explicitly authorise an AI-suggested action — especially any change to systems or data — before it takes effect, so a named person remains accountable.</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Sensitive data</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Information that must not be entered into any AI tool unless that tool is sanctioned and the handling is approved — including personal data (UK GDPR), secrets and credentials, proprietary source code, configurations and network detail, and confidential commercial or legally privileged material.</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Personal data (PII)</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Any information relating to an identified or identifiable living individual (e.g. names, emails, IDs, online identifiers). Processing it is regulated by UK GDPR and the Data Protection Act 2018; disclosing it to a public LLM is a third-party disclosure that usually needs a lawful basis and a DPA.</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Secret / credential</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Any value that grants access or proves identity — passwords, API keys, tokens, connection strings, private keys. Once pasted into a third-party tool it must be treated as compromised and rotated.</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Data Processing Agreement (DPA)</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 contract required under UK GDPR Article 28 when a third party processes personal data on your behalf, setting out the processing terms and safeguards. Public/consumer AI tiers typically do not provide one.</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Data Protection Impact Assessment (DPIA)</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An assessment required under UK GDPR Article 35 when processing is likely to result in a high risk to individuals — including much AI processing of personal data — to identify and mitigate that risk before processing begins.</w:t>
            </w:r>
          </w:p>
        </w:tc>
      </w:tr>
      <w:tr>
        <w:tc>
          <w:tcPr>
            <w:tcW w:type="dxa" w:w="24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Data Loss Prevention (DLP)</w:t>
            </w:r>
          </w:p>
        </w:tc>
        <w:tc>
          <w:tcPr>
            <w:tcW w:type="dxa" w:w="69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Technical controls that detect and block sensitive data (secrets, PII, source) from leaving the organisation's boundary — including being pasted or uploaded into AI tools.</w:t>
            </w:r>
          </w:p>
        </w:tc>
      </w:tr>
      <w:tr>
        <w:tc>
          <w:tcPr>
            <w:tcW w:type="dxa" w:w="24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Sandbox-before-prod</w:t>
            </w:r>
          </w:p>
        </w:tc>
        <w:tc>
          <w:tcPr>
            <w:tcW w:type="dxa" w:w="69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The practice of running any AI-generated command or change in an isolated, non-production environment first, confirming its effect and blast radius, before it is ever applied to live systems.</w:t>
            </w:r>
          </w:p>
        </w:tc>
      </w:tr>
    </w:tbl>
    <w:p>
      <w:pPr>
        <w:pStyle w:val="Heading1"/>
      </w:pPr>
      <w:r>
        <w:t xml:space="preserve">3. Roles and responsibilities (RACI)</w:t>
      </w:r>
    </w:p>
    <w:p>
      <w:pPr>
        <w:spacing w:after="120" w:line="276"/>
      </w:pPr>
      <w:r>
        <w:t xml:space="preserve">The following roles are </w:t>
      </w:r>
      <w:r>
        <w:rPr>
          <w:b/>
          <w:bCs/>
        </w:rPr>
        <w:t xml:space="preserve">Accountable (A)</w:t>
      </w:r>
      <w:r>
        <w:t xml:space="preserve">, </w:t>
      </w:r>
      <w:r>
        <w:rPr>
          <w:b/>
          <w:bCs/>
        </w:rPr>
        <w:t xml:space="preserve">Responsible (R)</w:t>
      </w:r>
      <w:r>
        <w:t xml:space="preserve">, </w:t>
      </w:r>
      <w:r>
        <w:rPr>
          <w:b/>
          <w:bCs/>
        </w:rPr>
        <w:t xml:space="preserve">Consulted (C)</w:t>
      </w:r>
      <w:r>
        <w:t xml:space="preserve"> or </w:t>
      </w:r>
      <w:r>
        <w:rPr>
          <w:b/>
          <w:bCs/>
        </w:rPr>
        <w:t xml:space="preserve">Informed (I)</w:t>
      </w:r>
      <w:r>
        <w:t xml:space="preserve"> for the activities below. {Company Name} must map each role to a named post-holder before adoption.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100"/>
        <w:gridCol w:w="900"/>
        <w:gridCol w:w="1000"/>
        <w:gridCol w:w="800"/>
        <w:gridCol w:w="900"/>
        <w:gridCol w:w="1300"/>
      </w:tblGrid>
      <w:tr>
        <w:trPr>
          <w:tblHeader/>
        </w:trPr>
        <w:tc>
          <w:tcPr>
            <w:tcW w:type="dxa" w:w="33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Activity</w:t>
            </w:r>
          </w:p>
        </w:tc>
        <w:tc>
          <w:tcPr>
            <w:tcW w:type="dxa" w:w="11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Owner / CISO</w:t>
            </w:r>
          </w:p>
        </w:tc>
        <w:tc>
          <w:tcPr>
            <w:tcW w:type="dxa" w:w="9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IT / Eng</w:t>
            </w:r>
          </w:p>
        </w:tc>
        <w:tc>
          <w:tcPr>
            <w:tcW w:type="dxa" w:w="10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Security</w:t>
            </w:r>
          </w:p>
        </w:tc>
        <w:tc>
          <w:tcPr>
            <w:tcW w:type="dxa" w:w="8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DPO</w:t>
            </w:r>
          </w:p>
        </w:tc>
        <w:tc>
          <w:tcPr>
            <w:tcW w:type="dxa" w:w="9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Users</w:t>
            </w:r>
          </w:p>
        </w:tc>
        <w:tc>
          <w:tcPr>
            <w:tcW w:type="dxa" w:w="13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SIRO</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Own, maintain and review this policy</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A/R</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1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w:t>
            </w:r>
          </w:p>
        </w:tc>
      </w:tr>
      <w:tr>
        <w:tc>
          <w:tcPr>
            <w:tcW w:type="dxa" w:w="3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Maintain the Approved AI Tools Register</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w:t>
            </w:r>
          </w:p>
        </w:tc>
        <w:tc>
          <w:tcPr>
            <w:tcW w:type="dxa" w:w="10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Approve a new AI tool / onboarding</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1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Operate technical controls (egress, gateway, DLP, logging)</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w:t>
            </w:r>
          </w:p>
        </w:tc>
        <w:tc>
          <w:tcPr>
            <w:tcW w:type="dxa" w:w="10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w:t>
            </w:r>
          </w:p>
        </w:tc>
        <w:tc>
          <w:tcPr>
            <w:tcW w:type="dxa" w:w="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Review/own AI-generated changes before execution</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A/R</w:t>
            </w:r>
          </w:p>
        </w:tc>
        <w:tc>
          <w:tcPr>
            <w:tcW w:type="dxa" w:w="1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Carry out DPIAs for AI processing of personal data</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10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A/R</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Classify and handle data correctly</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1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Detect, log and audit AI use</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w:t>
            </w:r>
          </w:p>
        </w:tc>
        <w:tc>
          <w:tcPr>
            <w:tcW w:type="dxa" w:w="10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w:t>
            </w:r>
          </w:p>
        </w:tc>
        <w:tc>
          <w:tcPr>
            <w:tcW w:type="dxa" w:w="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Handle AI-related incidents; notify ICO where required</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1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A/R</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Approve exceptions / risk acceptance</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10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Complete mandatory training and attest</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1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8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c>
          <w:tcPr>
            <w:tcW w:type="dxa" w:w="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R</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I</w:t>
            </w:r>
          </w:p>
        </w:tc>
      </w:tr>
      <w:tr>
        <w:tc>
          <w:tcPr>
            <w:tcW w:type="dxa" w:w="3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Enforce sanctions for breaches</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10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8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w:t>
            </w:r>
          </w:p>
        </w:tc>
        <w:tc>
          <w:tcPr>
            <w:tcW w:type="dxa" w:w="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w:t>
            </w:r>
          </w:p>
        </w:tc>
      </w:tr>
    </w:tbl>
    <w:p>
      <w:pPr>
        <w:spacing w:after="120" w:before="80" w:line="276"/>
      </w:pPr>
      <w:r>
        <w:rPr>
          <w:i/>
          <w:iCs/>
          <w:sz w:val="18"/>
          <w:szCs w:val="18"/>
        </w:rPr>
        <w:t xml:space="preserve">Where two roles share Accountability above, {Company Name} must designate a single accountable owner before adoption to avoid ambiguity.</w:t>
      </w:r>
    </w:p>
    <w:p>
      <w:pPr>
        <w:pStyle w:val="Heading1"/>
      </w:pPr>
      <w:r>
        <w:t xml:space="preserve">4. Acceptable use — permitted and prohibited</w:t>
      </w:r>
    </w:p>
    <w:p>
      <w:pPr>
        <w:spacing w:after="120" w:line="276"/>
      </w:pPr>
      <w:r>
        <w:t xml:space="preserve">These rules are mandatory. “Must” and “must not” express binding obligations.</w:t>
      </w:r>
    </w:p>
    <w:p>
      <w:pPr>
        <w:pStyle w:val="Heading2"/>
      </w:pPr>
      <w:r>
        <w:t xml:space="preserve">4.1 Permitted (subject to all other sections)</w:t>
      </w:r>
    </w:p>
    <w:p>
      <w:pPr>
        <w:spacing w:after="120" w:before="0" w:line="276"/>
      </w:pPr>
      <w:r>
        <w:t xml:space="preserve">Workers may:</w:t>
      </w:r>
    </w:p>
    <w:p>
      <w:pPr>
        <w:pStyle w:val="ListParagraph"/>
        <w:numPr>
          <w:ilvl w:val="0"/>
          <w:numId w:val="2"/>
        </w:numPr>
        <w:spacing w:after="60" w:line="276"/>
      </w:pPr>
      <w:r>
        <w:t xml:space="preserve">Use </w:t>
      </w:r>
      <w:r>
        <w:rPr>
          <w:b/>
          <w:bCs/>
        </w:rPr>
        <w:t xml:space="preserve">sanctioned AI</w:t>
      </w:r>
      <w:r>
        <w:t xml:space="preserve"> tools listed in the Approved AI Tools Register (Section 5), accessed through the approved route/gateway.</w:t>
      </w:r>
    </w:p>
    <w:p>
      <w:pPr>
        <w:pStyle w:val="ListParagraph"/>
        <w:numPr>
          <w:ilvl w:val="0"/>
          <w:numId w:val="2"/>
        </w:numPr>
        <w:spacing w:after="60" w:line="276"/>
      </w:pPr>
      <w:r>
        <w:t xml:space="preserve">Use AI to </w:t>
      </w:r>
      <w:r>
        <w:rPr>
          <w:b/>
          <w:bCs/>
        </w:rPr>
        <w:t xml:space="preserve">draft, explain, review or refactor code and scripts</w:t>
      </w:r>
      <w:r>
        <w:t xml:space="preserve">, provided the output is treated as a draft and subjected to the controls in Sections 8 and 9 before use.</w:t>
      </w:r>
    </w:p>
    <w:p>
      <w:pPr>
        <w:pStyle w:val="ListParagraph"/>
        <w:numPr>
          <w:ilvl w:val="0"/>
          <w:numId w:val="2"/>
        </w:numPr>
        <w:spacing w:after="60" w:line="276"/>
      </w:pPr>
      <w:r>
        <w:t xml:space="preserve">Use AI on </w:t>
      </w:r>
      <w:r>
        <w:rPr>
          <w:b/>
          <w:bCs/>
        </w:rPr>
        <w:t xml:space="preserve">non-sensitive, non-personal information</w:t>
      </w:r>
      <w:r>
        <w:t xml:space="preserve"> classified at or below {the lowest “may share with sanctioned AI” class — see Section 6}.</w:t>
      </w:r>
    </w:p>
    <w:p>
      <w:pPr>
        <w:pStyle w:val="ListParagraph"/>
        <w:numPr>
          <w:ilvl w:val="0"/>
          <w:numId w:val="2"/>
        </w:numPr>
        <w:spacing w:after="60" w:line="276"/>
      </w:pPr>
      <w:r>
        <w:t xml:space="preserve">Use AI to </w:t>
      </w:r>
      <w:r>
        <w:rPr>
          <w:b/>
          <w:bCs/>
        </w:rPr>
        <w:t xml:space="preserve">summarise, draft or research</w:t>
      </w:r>
      <w:r>
        <w:t xml:space="preserve"> general (non-sensitive) material.</w:t>
      </w:r>
    </w:p>
    <w:p>
      <w:pPr>
        <w:pStyle w:val="ListParagraph"/>
        <w:numPr>
          <w:ilvl w:val="0"/>
          <w:numId w:val="2"/>
        </w:numPr>
        <w:spacing w:after="60" w:line="276"/>
      </w:pPr>
      <w:r>
        <w:t xml:space="preserve">Use </w:t>
      </w:r>
      <w:r>
        <w:rPr>
          <w:b/>
          <w:bCs/>
        </w:rPr>
        <w:t xml:space="preserve">private / on-prem AI</w:t>
      </w:r>
      <w:r>
        <w:t xml:space="preserve"> for higher-sensitivity work </w:t>
      </w:r>
      <w:r>
        <w:rPr>
          <w:b/>
          <w:bCs/>
        </w:rPr>
        <w:t xml:space="preserve">only where Section 6 and any required DPIA expressly permit it</w:t>
      </w:r>
      <w:r>
        <w:t xml:space="preserve">.</w:t>
      </w:r>
    </w:p>
    <w:p>
      <w:pPr>
        <w:pStyle w:val="Heading2"/>
      </w:pPr>
      <w:r>
        <w:t xml:space="preserve">4.2 Prohibited</w:t>
      </w:r>
    </w:p>
    <w:p>
      <w:pPr>
        <w:spacing w:after="120" w:before="0" w:line="276"/>
      </w:pPr>
      <w:r>
        <w:t xml:space="preserve">Workers must not:</w:t>
      </w:r>
    </w:p>
    <w:p>
      <w:pPr>
        <w:pStyle w:val="ListParagraph"/>
        <w:numPr>
          <w:ilvl w:val="0"/>
          <w:numId w:val="3"/>
        </w:numPr>
        <w:spacing w:after="60" w:line="276"/>
      </w:pPr>
      <w:r>
        <w:t xml:space="preserve">Use any </w:t>
      </w:r>
      <w:r>
        <w:rPr>
          <w:b/>
          <w:bCs/>
        </w:rPr>
        <w:t xml:space="preserve">public / consumer LLM</w:t>
      </w:r>
      <w:r>
        <w:t xml:space="preserve"> (including personal accounts) for {Company Name} work, except where it is explicitly sanctioned and routed through the approved gateway. Use of unsanctioned tools is </w:t>
      </w:r>
      <w:r>
        <w:rPr>
          <w:b/>
          <w:bCs/>
        </w:rPr>
        <w:t xml:space="preserve">shadow AI</w:t>
      </w:r>
      <w:r>
        <w:t xml:space="preserve"> and is prohibited.</w:t>
      </w:r>
    </w:p>
    <w:p>
      <w:pPr>
        <w:pStyle w:val="ListParagraph"/>
        <w:numPr>
          <w:ilvl w:val="0"/>
          <w:numId w:val="3"/>
        </w:numPr>
        <w:spacing w:after="60" w:line="276"/>
      </w:pPr>
      <w:r>
        <w:t xml:space="preserve">Enter into </w:t>
      </w:r>
      <w:r>
        <w:rPr>
          <w:b/>
          <w:bCs/>
        </w:rPr>
        <w:t xml:space="preserve">any</w:t>
      </w:r>
      <w:r>
        <w:t xml:space="preserve"> AI tool any data that Section 6 marks as never permitted — including secrets/credentials, personal data, proprietary source code, configurations or network detail — unless the tool is sanctioned and the handling for that class is approved.</w:t>
      </w:r>
    </w:p>
    <w:p>
      <w:pPr>
        <w:pStyle w:val="ListParagraph"/>
        <w:numPr>
          <w:ilvl w:val="0"/>
          <w:numId w:val="3"/>
        </w:numPr>
        <w:spacing w:after="60" w:line="276"/>
      </w:pPr>
      <w:r>
        <w:rPr>
          <w:b/>
          <w:bCs/>
        </w:rPr>
        <w:t xml:space="preserve">Run AI-generated commands, scripts or changes on any system without the review and change-control steps in Section 8.</w:t>
      </w:r>
      <w:r>
        <w:t xml:space="preserve"> Pasting an error into a chatbot and running the returned command on production is expressly prohibited.</w:t>
      </w:r>
    </w:p>
    <w:p>
      <w:pPr>
        <w:pStyle w:val="ListParagraph"/>
        <w:numPr>
          <w:ilvl w:val="0"/>
          <w:numId w:val="3"/>
        </w:numPr>
        <w:spacing w:after="60" w:line="276"/>
      </w:pPr>
      <w:r>
        <w:t xml:space="preserve">Grant an AI tool or agent </w:t>
      </w:r>
      <w:r>
        <w:rPr>
          <w:b/>
          <w:bCs/>
        </w:rPr>
        <w:t xml:space="preserve">standing domain administrator, root or other privileged access</w:t>
      </w:r>
      <w:r>
        <w:t xml:space="preserve"> (see Sections 6 and 8.4).</w:t>
      </w:r>
    </w:p>
    <w:p>
      <w:pPr>
        <w:pStyle w:val="ListParagraph"/>
        <w:numPr>
          <w:ilvl w:val="0"/>
          <w:numId w:val="3"/>
        </w:numPr>
        <w:spacing w:after="60" w:line="276"/>
      </w:pPr>
      <w:r>
        <w:rPr>
          <w:b/>
          <w:bCs/>
        </w:rPr>
        <w:t xml:space="preserve">Install dependencies or packages suggested by AI without verifying</w:t>
      </w:r>
      <w:r>
        <w:t xml:space="preserve"> they exist and are the intended, reputable package (anti-slopsquatting — Section 8.5).</w:t>
      </w:r>
    </w:p>
    <w:p>
      <w:pPr>
        <w:pStyle w:val="ListParagraph"/>
        <w:numPr>
          <w:ilvl w:val="0"/>
          <w:numId w:val="3"/>
        </w:numPr>
        <w:spacing w:after="60" w:line="276"/>
      </w:pPr>
      <w:r>
        <w:t xml:space="preserve">Treat AI output as </w:t>
      </w:r>
      <w:r>
        <w:rPr>
          <w:b/>
          <w:bCs/>
        </w:rPr>
        <w:t xml:space="preserve">authoritative</w:t>
      </w:r>
      <w:r>
        <w:t xml:space="preserve">: every command, flag, fact and configuration must be verified before use (Section 9).</w:t>
      </w:r>
    </w:p>
    <w:p>
      <w:pPr>
        <w:pStyle w:val="ListParagraph"/>
        <w:numPr>
          <w:ilvl w:val="0"/>
          <w:numId w:val="3"/>
        </w:numPr>
        <w:spacing w:after="60" w:line="276"/>
      </w:pPr>
      <w:r>
        <w:t xml:space="preserve">Use AI in any way that </w:t>
      </w:r>
      <w:r>
        <w:rPr>
          <w:b/>
          <w:bCs/>
        </w:rPr>
        <w:t xml:space="preserve">circumvents</w:t>
      </w:r>
      <w:r>
        <w:t xml:space="preserve"> {Company Name}'s security controls, DLP or logging, or that uses a personal account to avoid governance.</w:t>
      </w:r>
    </w:p>
    <w:p>
      <w:pPr>
        <w:pStyle w:val="ListParagraph"/>
        <w:numPr>
          <w:ilvl w:val="0"/>
          <w:numId w:val="3"/>
        </w:numPr>
        <w:spacing w:after="60" w:line="276"/>
      </w:pPr>
      <w:r>
        <w:t xml:space="preserve">Use AI to process </w:t>
      </w:r>
      <w:r>
        <w:rPr>
          <w:b/>
          <w:bCs/>
        </w:rPr>
        <w:t xml:space="preserve">personal data</w:t>
      </w:r>
      <w:r>
        <w:t xml:space="preserve"> in a way that lacks a DPIA, lawful basis and (where a third party is involved) a DPA (Section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756" w:sz="4"/>
              <w:left w:val="single" w:color="2E4756" w:sz="16"/>
              <w:bottom w:val="single" w:color="2E4756" w:sz="4"/>
              <w:right w:val="single" w:color="2E4756" w:sz="4"/>
            </w:tcBorders>
            <w:shd w:fill="F4F6F5" w:val="clear"/>
            <w:tcMar>
              <w:top w:type="dxa" w:w="120"/>
              <w:left w:type="dxa" w:w="160"/>
              <w:bottom w:type="dxa" w:w="120"/>
              <w:right w:type="dxa" w:w="160"/>
            </w:tcMar>
          </w:tcPr>
          <w:p>
            <w:pPr>
              <w:spacing w:after="60"/>
            </w:pPr>
            <w:r>
              <w:rPr>
                <w:b/>
                <w:bCs/>
                <w:color w:val="2E4756"/>
                <w:sz w:val="20"/>
                <w:szCs w:val="20"/>
              </w:rPr>
              <w:t xml:space="preserve">This is not theoretical</w:t>
            </w:r>
          </w:p>
          <w:p>
            <w:pPr>
              <w:spacing w:after="40" w:line="264"/>
            </w:pPr>
            <w:r>
              <w:t xml:space="preserve">Within weeks of allowing ChatGPT, Samsung confirmed </w:t>
            </w:r>
            <w:r>
              <w:rPr>
                <w:b/>
                <w:bCs/>
              </w:rPr>
              <w:t xml:space="preserve">at least three incidents</w:t>
            </w:r>
            <w:r>
              <w:t xml:space="preserve"> of engineers pasting proprietary semiconductor source code and internal notes into it, then restricted the tool. In July 2025 an AI coding agent deleted a live production database (</w:t>
            </w:r>
            <w:r>
              <w:rPr>
                <w:b/>
                <w:bCs/>
              </w:rPr>
              <w:t xml:space="preserve">~1,200 records</w:t>
            </w:r>
            <w:r>
              <w:t xml:space="preserve">) during a code freeze despite being told not to make changes.</w:t>
            </w:r>
          </w:p>
          <w:p>
            <w:pPr>
              <w:spacing w:after="40" w:line="264"/>
            </w:pPr>
            <w:r>
              <w:t xml:space="preserve">Sources: AI Incident Database #768 (Samsung); The Register, 2025 (Replit) — see the verified Sources register.</w:t>
            </w:r>
          </w:p>
        </w:tc>
      </w:tr>
    </w:tbl>
    <w:p>
      <w:pPr>
        <w:pStyle w:val="Heading1"/>
      </w:pPr>
      <w:r>
        <w:t xml:space="preserve">5. Approved AI tools register and onboarding</w:t>
      </w:r>
    </w:p>
    <w:p>
      <w:pPr>
        <w:pStyle w:val="Heading2"/>
      </w:pPr>
      <w:r>
        <w:t xml:space="preserve">5.1 The register</w:t>
      </w:r>
    </w:p>
    <w:p>
      <w:pPr>
        <w:spacing w:after="120" w:line="276"/>
      </w:pPr>
      <w:r>
        <w:t xml:space="preserve">{Company Name} </w:t>
      </w:r>
      <w:r>
        <w:rPr>
          <w:b/>
          <w:bCs/>
        </w:rPr>
        <w:t xml:space="preserve">must</w:t>
      </w:r>
      <w:r>
        <w:t xml:space="preserve"> maintain an </w:t>
      </w:r>
      <w:r>
        <w:rPr>
          <w:b/>
          <w:bCs/>
        </w:rPr>
        <w:t xml:space="preserve">Approved AI Tools Register</w:t>
      </w:r>
      <w:r>
        <w:t xml:space="preserve"> as a controlled asset inventory. Only tools listed there may be used (Section 4). The register </w:t>
      </w:r>
      <w:r>
        <w:rPr>
          <w:b/>
          <w:bCs/>
        </w:rPr>
        <w:t xml:space="preserve">must</w:t>
      </w:r>
      <w:r>
        <w:t xml:space="preserve"> record, for each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tblHeader/>
        </w:trPr>
        <w:tc>
          <w:tcPr>
            <w:tcW w:type="dxa" w:w="42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Field</w:t>
            </w:r>
          </w:p>
        </w:tc>
        <w:tc>
          <w:tcPr>
            <w:tcW w:type="dxa" w:w="51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Example / requirement</w:t>
            </w:r>
          </w:p>
        </w:tc>
      </w:tr>
      <w:tr>
        <w:tc>
          <w:tcPr>
            <w:tcW w:type="dxa" w:w="42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Tool name and version/tier</w:t>
            </w:r>
          </w:p>
        </w:tc>
        <w:tc>
          <w:tcPr>
            <w:tcW w:type="dxa" w:w="51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{e.g. Private gateway to self-hosted model}</w:t>
            </w:r>
          </w:p>
        </w:tc>
      </w:tr>
      <w:tr>
        <w:tc>
          <w:tcPr>
            <w:tcW w:type="dxa" w:w="42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Type</w:t>
            </w:r>
          </w:p>
        </w:tc>
        <w:tc>
          <w:tcPr>
            <w:tcW w:type="dxa" w:w="51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Public / Sanctioned (enterprise) / Private-on-prem</w:t>
            </w:r>
          </w:p>
        </w:tc>
      </w:tr>
      <w:tr>
        <w:tc>
          <w:tcPr>
            <w:tcW w:type="dxa" w:w="42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Approved data classes</w:t>
            </w:r>
          </w:p>
        </w:tc>
        <w:tc>
          <w:tcPr>
            <w:tcW w:type="dxa" w:w="51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{highest class permitted}</w:t>
            </w:r>
          </w:p>
        </w:tc>
      </w:tr>
      <w:tr>
        <w:tc>
          <w:tcPr>
            <w:tcW w:type="dxa" w:w="42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No-training terms in place?</w:t>
            </w:r>
          </w:p>
        </w:tc>
        <w:tc>
          <w:tcPr>
            <w:tcW w:type="dxa" w:w="51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Yes / No (must be Yes for any external tool)</w:t>
            </w:r>
          </w:p>
        </w:tc>
      </w:tr>
      <w:tr>
        <w:tc>
          <w:tcPr>
            <w:tcW w:type="dxa" w:w="42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Signed DPA in place? (if personal data)</w:t>
            </w:r>
          </w:p>
        </w:tc>
        <w:tc>
          <w:tcPr>
            <w:tcW w:type="dxa" w:w="51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Yes / No / N-A</w:t>
            </w:r>
          </w:p>
        </w:tc>
      </w:tr>
      <w:tr>
        <w:tc>
          <w:tcPr>
            <w:tcW w:type="dxa" w:w="42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Data residency / international transfer position</w:t>
            </w:r>
          </w:p>
        </w:tc>
        <w:tc>
          <w:tcPr>
            <w:tcW w:type="dxa" w:w="51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{country / boundary}</w:t>
            </w:r>
          </w:p>
        </w:tc>
      </w:tr>
      <w:tr>
        <w:tc>
          <w:tcPr>
            <w:tcW w:type="dxa" w:w="42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Approved access route</w:t>
            </w:r>
          </w:p>
        </w:tc>
        <w:tc>
          <w:tcPr>
            <w:tcW w:type="dxa" w:w="51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{gateway / endpoint}</w:t>
            </w:r>
          </w:p>
        </w:tc>
      </w:tr>
      <w:tr>
        <w:tc>
          <w:tcPr>
            <w:tcW w:type="dxa" w:w="42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Tool owner</w:t>
            </w:r>
          </w:p>
        </w:tc>
        <w:tc>
          <w:tcPr>
            <w:tcW w:type="dxa" w:w="51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{named role}</w:t>
            </w:r>
          </w:p>
        </w:tc>
      </w:tr>
      <w:tr>
        <w:tc>
          <w:tcPr>
            <w:tcW w:type="dxa" w:w="42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DPIA reference (if personal data)</w:t>
            </w:r>
          </w:p>
        </w:tc>
        <w:tc>
          <w:tcPr>
            <w:tcW w:type="dxa" w:w="51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{DPIA-ID}</w:t>
            </w:r>
          </w:p>
        </w:tc>
      </w:tr>
      <w:tr>
        <w:tc>
          <w:tcPr>
            <w:tcW w:type="dxa" w:w="42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Approval date / review date</w:t>
            </w:r>
          </w:p>
        </w:tc>
        <w:tc>
          <w:tcPr>
            <w:tcW w:type="dxa" w:w="51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{dates}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8A72" w:sz="4"/>
              <w:left w:val="single" w:color="5B8A72" w:sz="16"/>
              <w:bottom w:val="single" w:color="5B8A72" w:sz="4"/>
              <w:right w:val="single" w:color="5B8A72" w:sz="4"/>
            </w:tcBorders>
            <w:shd w:fill="E8F0EE" w:val="clear"/>
            <w:tcMar>
              <w:top w:type="dxa" w:w="120"/>
              <w:left w:type="dxa" w:w="160"/>
              <w:bottom w:type="dxa" w:w="120"/>
              <w:right w:type="dxa" w:w="160"/>
            </w:tcMar>
          </w:tcPr>
          <w:p>
            <w:pPr>
              <w:spacing w:after="60"/>
            </w:pPr>
            <w:r>
              <w:rPr>
                <w:b/>
                <w:bCs/>
                <w:color w:val="5B8A72"/>
                <w:sz w:val="20"/>
                <w:szCs w:val="20"/>
              </w:rPr>
              <w:t xml:space="preserve">Template register starting position</w:t>
            </w:r>
          </w:p>
          <w:p>
            <w:pPr>
              <w:spacing w:after="40" w:line="264"/>
            </w:pPr>
            <w:r>
              <w:t xml:space="preserve">No public/consumer tool is approved by default. The default sanctioned options are: (a) an enterprise no-training tier </w:t>
            </w:r>
            <w:r>
              <w:rPr>
                <w:b/>
                <w:bCs/>
              </w:rPr>
              <w:t xml:space="preserve">with a signed DPA</w:t>
            </w:r>
            <w:r>
              <w:t xml:space="preserve">, or (b) a </w:t>
            </w:r>
            <w:r>
              <w:rPr>
                <w:b/>
                <w:bCs/>
              </w:rPr>
              <w:t xml:space="preserve">private/on-prem</w:t>
            </w:r>
            <w:r>
              <w:t xml:space="preserve"> capability where data never leaves {Company Name}'s boundary — the lowest-exposure option and the recommended Onionio path.</w:t>
            </w:r>
          </w:p>
        </w:tc>
      </w:tr>
    </w:tbl>
    <w:p>
      <w:pPr>
        <w:pStyle w:val="Heading2"/>
      </w:pPr>
      <w:r>
        <w:t xml:space="preserve">5.2 Onboarding / approval process for a new tool</w:t>
      </w:r>
    </w:p>
    <w:p>
      <w:pPr>
        <w:spacing w:after="120" w:before="0" w:line="276"/>
      </w:pPr>
      <w:r>
        <w:t xml:space="preserve">A tool must not be used until it has passed this process and been added to the register:</w:t>
      </w:r>
    </w:p>
    <w:p>
      <w:pPr>
        <w:pStyle w:val="ListParagraph"/>
        <w:numPr>
          <w:ilvl w:val="0"/>
          <w:numId w:val="4"/>
        </w:numPr>
        <w:spacing w:after="60" w:line="276"/>
      </w:pPr>
      <w:r>
        <w:rPr>
          <w:b/>
          <w:bCs/>
        </w:rPr>
        <w:t xml:space="preserve">Request.</w:t>
      </w:r>
      <w:r>
        <w:t xml:space="preserve"> The requester submits a business case and the proposed data classes to the Policy Owner.</w:t>
      </w:r>
    </w:p>
    <w:p>
      <w:pPr>
        <w:pStyle w:val="ListParagraph"/>
        <w:numPr>
          <w:ilvl w:val="0"/>
          <w:numId w:val="4"/>
        </w:numPr>
        <w:spacing w:after="60" w:line="276"/>
      </w:pPr>
      <w:r>
        <w:rPr>
          <w:b/>
          <w:bCs/>
        </w:rPr>
        <w:t xml:space="preserve">Eligibility gate — non-negotiable.</w:t>
      </w:r>
      <w:r>
        <w:t xml:space="preserve"> The tool </w:t>
      </w:r>
      <w:r>
        <w:rPr>
          <w:b/>
          <w:bCs/>
        </w:rPr>
        <w:t xml:space="preserve">must</w:t>
      </w:r>
      <w:r>
        <w:t xml:space="preserve"> either (a) provide contractual </w:t>
      </w:r>
      <w:r>
        <w:rPr>
          <w:b/>
          <w:bCs/>
        </w:rPr>
        <w:t xml:space="preserve">no-training terms and a signed DPA</w:t>
      </w:r>
      <w:r>
        <w:t xml:space="preserve"> (where it will process personal data), or (b) be </w:t>
      </w:r>
      <w:r>
        <w:rPr>
          <w:b/>
          <w:bCs/>
        </w:rPr>
        <w:t xml:space="preserve">self-hosted / private / on-prem</w:t>
      </w:r>
      <w:r>
        <w:t xml:space="preserve">. A tool meeting neither is rejected.</w:t>
      </w:r>
    </w:p>
    <w:p>
      <w:pPr>
        <w:pStyle w:val="ListParagraph"/>
        <w:numPr>
          <w:ilvl w:val="0"/>
          <w:numId w:val="4"/>
        </w:numPr>
        <w:spacing w:after="60" w:line="276"/>
      </w:pPr>
      <w:r>
        <w:rPr>
          <w:b/>
          <w:bCs/>
        </w:rPr>
        <w:t xml:space="preserve">Security review.</w:t>
      </w:r>
      <w:r>
        <w:t xml:space="preserve"> Security assesses access route, authentication, logging, DLP integration and least-privilege.</w:t>
      </w:r>
    </w:p>
    <w:p>
      <w:pPr>
        <w:pStyle w:val="ListParagraph"/>
        <w:numPr>
          <w:ilvl w:val="0"/>
          <w:numId w:val="4"/>
        </w:numPr>
        <w:spacing w:after="60" w:line="276"/>
      </w:pPr>
      <w:r>
        <w:rPr>
          <w:b/>
          <w:bCs/>
        </w:rPr>
        <w:t xml:space="preserve">Data-protection review.</w:t>
      </w:r>
      <w:r>
        <w:t xml:space="preserve"> Where personal data is in scope, the DPO assesses lawful basis, transfers and the need for a </w:t>
      </w:r>
      <w:r>
        <w:rPr>
          <w:b/>
          <w:bCs/>
        </w:rPr>
        <w:t xml:space="preserve">DPIA</w:t>
      </w:r>
      <w:r>
        <w:t xml:space="preserve"> (Section 10). The DPIA must be completed </w:t>
      </w:r>
      <w:r>
        <w:rPr>
          <w:b/>
          <w:bCs/>
        </w:rPr>
        <w:t xml:space="preserve">before</w:t>
      </w:r>
      <w:r>
        <w:t xml:space="preserve"> go-live.</w:t>
      </w:r>
    </w:p>
    <w:p>
      <w:pPr>
        <w:pStyle w:val="ListParagraph"/>
        <w:numPr>
          <w:ilvl w:val="0"/>
          <w:numId w:val="4"/>
        </w:numPr>
        <w:spacing w:after="60" w:line="276"/>
      </w:pPr>
      <w:r>
        <w:rPr>
          <w:b/>
          <w:bCs/>
        </w:rPr>
        <w:t xml:space="preserve">Decision and recording.</w:t>
      </w:r>
      <w:r>
        <w:t xml:space="preserve"> The Policy Owner approves or rejects; approved tools are added to the register with their approved data classes and review date.</w:t>
      </w:r>
    </w:p>
    <w:p>
      <w:pPr>
        <w:pStyle w:val="ListParagraph"/>
        <w:numPr>
          <w:ilvl w:val="0"/>
          <w:numId w:val="4"/>
        </w:numPr>
        <w:spacing w:after="60" w:line="276"/>
      </w:pPr>
      <w:r>
        <w:rPr>
          <w:b/>
          <w:bCs/>
        </w:rPr>
        <w:t xml:space="preserve">Communication and training.</w:t>
      </w:r>
      <w:r>
        <w:t xml:space="preserve"> Approved tools and their rules are communicated; training is updated.</w:t>
      </w:r>
    </w:p>
    <w:p>
      <w:pPr>
        <w:pStyle w:val="Heading1"/>
      </w:pPr>
      <w:r>
        <w:t xml:space="preserve">6. Data classification and handling</w:t>
      </w:r>
    </w:p>
    <w:p>
      <w:pPr>
        <w:pStyle w:val="Heading2"/>
      </w:pPr>
      <w:r>
        <w:t xml:space="preserve">6.1 Classes</w:t>
      </w:r>
    </w:p>
    <w:p>
      <w:pPr>
        <w:spacing w:after="120" w:line="276"/>
      </w:pPr>
      <w:r>
        <w:t xml:space="preserve">{Company Name} </w:t>
      </w:r>
      <w:r>
        <w:rPr>
          <w:b/>
          <w:bCs/>
        </w:rPr>
        <w:t xml:space="preserve">must</w:t>
      </w:r>
      <w:r>
        <w:t xml:space="preserve"> classify information and apply the rules below. {Align these class names to {Company Name}'s existing classification scheme; the four classes below are a default.}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4360"/>
      </w:tblGrid>
      <w:tr>
        <w:trPr>
          <w:tblHeader/>
        </w:trPr>
        <w:tc>
          <w:tcPr>
            <w:tcW w:type="dxa" w:w="15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Class</w:t>
            </w:r>
          </w:p>
        </w:tc>
        <w:tc>
          <w:tcPr>
            <w:tcW w:type="dxa" w:w="35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Examples</w:t>
            </w:r>
          </w:p>
        </w:tc>
        <w:tc>
          <w:tcPr>
            <w:tcW w:type="dxa" w:w="43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May it go into AI?</w:t>
            </w:r>
          </w:p>
        </w:tc>
      </w:tr>
      <w:tr>
        <w:tc>
          <w:tcPr>
            <w:tcW w:type="dxa" w:w="15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Public</w:t>
            </w:r>
          </w:p>
        </w:tc>
        <w:tc>
          <w:tcPr>
            <w:tcW w:type="dxa" w:w="35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Published marketing, open documentation</w:t>
            </w:r>
          </w:p>
        </w:tc>
        <w:tc>
          <w:tcPr>
            <w:tcW w:type="dxa" w:w="4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Permitted in any sanctioned tool.</w:t>
            </w:r>
          </w:p>
        </w:tc>
      </w:tr>
      <w:tr>
        <w:tc>
          <w:tcPr>
            <w:tcW w:type="dxa" w:w="15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Internal</w:t>
            </w:r>
          </w:p>
        </w:tc>
        <w:tc>
          <w:tcPr>
            <w:tcW w:type="dxa" w:w="35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Routine internal docs, non-sensitive notes</w:t>
            </w:r>
          </w:p>
        </w:tc>
        <w:tc>
          <w:tcPr>
            <w:tcW w:type="dxa" w:w="4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Permitted in </w:t>
            </w:r>
            <w:r>
              <w:rPr>
                <w:b/>
                <w:bCs/>
              </w:rPr>
              <w:t xml:space="preserve">sanctioned</w:t>
            </w:r>
            <w:r>
              <w:t xml:space="preserve"> tools only.</w:t>
            </w:r>
          </w:p>
        </w:tc>
      </w:tr>
      <w:tr>
        <w:tc>
          <w:tcPr>
            <w:tcW w:type="dxa" w:w="15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Confidential</w:t>
            </w:r>
          </w:p>
        </w:tc>
        <w:tc>
          <w:tcPr>
            <w:tcW w:type="dxa" w:w="35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Proprietary source code, configurations, network detail, commercial-in-confidence, legally privileged material</w:t>
            </w:r>
          </w:p>
        </w:tc>
        <w:tc>
          <w:tcPr>
            <w:tcW w:type="dxa" w:w="4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rPr>
                <w:b/>
                <w:bCs/>
              </w:rPr>
              <w:t xml:space="preserve">Only</w:t>
            </w:r>
            <w:r>
              <w:t xml:space="preserve"> in </w:t>
            </w:r>
            <w:r>
              <w:rPr>
                <w:b/>
                <w:bCs/>
              </w:rPr>
              <w:t xml:space="preserve">private/on-prem</w:t>
            </w:r>
            <w:r>
              <w:t xml:space="preserve"> sanctioned AI, where approved for that class; never in any public/consumer tool.</w:t>
            </w:r>
          </w:p>
        </w:tc>
      </w:tr>
      <w:tr>
        <w:tc>
          <w:tcPr>
            <w:tcW w:type="dxa" w:w="15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Restricted</w:t>
            </w:r>
          </w:p>
        </w:tc>
        <w:tc>
          <w:tcPr>
            <w:tcW w:type="dxa" w:w="35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Secrets / credentials, personal data (PII), special-category data</w:t>
            </w:r>
          </w:p>
        </w:tc>
        <w:tc>
          <w:tcPr>
            <w:tcW w:type="dxa" w:w="43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rPr>
                <w:b/>
                <w:bCs/>
              </w:rPr>
              <w:t xml:space="preserve">Never</w:t>
            </w:r>
            <w:r>
              <w:t xml:space="preserve"> entered into any AI tool unless that specific tool is sanctioned </w:t>
            </w:r>
            <w:r>
              <w:rPr>
                <w:b/>
                <w:bCs/>
              </w:rPr>
              <w:t xml:space="preserve">and</w:t>
            </w:r>
            <w:r>
              <w:t xml:space="preserve"> the handling for this class is expressly approved (and, for personal data, a DPIA and lawful basis exist). Secrets must never be entered into any external tool.</w:t>
            </w:r>
          </w:p>
        </w:tc>
      </w:tr>
    </w:tbl>
    <w:p>
      <w:pPr>
        <w:pStyle w:val="Heading2"/>
      </w:pPr>
      <w:r>
        <w:t xml:space="preserve">6.2 Hard rules — what must never be entered into any AI tool</w:t>
      </w:r>
    </w:p>
    <w:p>
      <w:pPr>
        <w:spacing w:after="120" w:before="0" w:line="276"/>
      </w:pPr>
      <w:r>
        <w:t xml:space="preserve">The following must never be entered into any AI tool unless it is sanctioned and the handling is expressly approved for that class:</w:t>
      </w:r>
    </w:p>
    <w:p>
      <w:pPr>
        <w:pStyle w:val="ListParagraph"/>
        <w:numPr>
          <w:ilvl w:val="0"/>
          <w:numId w:val="5"/>
        </w:numPr>
        <w:spacing w:after="60" w:line="276"/>
      </w:pPr>
      <w:r>
        <w:rPr>
          <w:b/>
          <w:bCs/>
        </w:rPr>
        <w:t xml:space="preserve">Secrets and credentials</w:t>
      </w:r>
      <w:r>
        <w:t xml:space="preserve"> — passwords, API keys, tokens, connection strings, private keys. If a secret is ever pasted into a non-sanctioned tool, it </w:t>
      </w:r>
      <w:r>
        <w:rPr>
          <w:b/>
          <w:bCs/>
        </w:rPr>
        <w:t xml:space="preserve">must</w:t>
      </w:r>
      <w:r>
        <w:t xml:space="preserve"> be treated as compromised and </w:t>
      </w:r>
      <w:r>
        <w:rPr>
          <w:b/>
          <w:bCs/>
        </w:rPr>
        <w:t xml:space="preserve">rotated immediately</w:t>
      </w:r>
      <w:r>
        <w:t xml:space="preserve">, and the incident reported under Section 12.</w:t>
      </w:r>
    </w:p>
    <w:p>
      <w:pPr>
        <w:pStyle w:val="ListParagraph"/>
        <w:numPr>
          <w:ilvl w:val="0"/>
          <w:numId w:val="5"/>
        </w:numPr>
        <w:spacing w:after="60" w:line="276"/>
      </w:pPr>
      <w:r>
        <w:rPr>
          <w:b/>
          <w:bCs/>
        </w:rPr>
        <w:t xml:space="preserve">Personal data (PII)</w:t>
      </w:r>
      <w:r>
        <w:t xml:space="preserve"> and special-category data — disclosure to a public LLM is a third-party, often cross-border, disclosure requiring a lawful basis and a DPA.</w:t>
      </w:r>
    </w:p>
    <w:p>
      <w:pPr>
        <w:pStyle w:val="ListParagraph"/>
        <w:numPr>
          <w:ilvl w:val="0"/>
          <w:numId w:val="5"/>
        </w:numPr>
        <w:spacing w:after="60" w:line="276"/>
      </w:pPr>
      <w:r>
        <w:rPr>
          <w:b/>
          <w:bCs/>
        </w:rPr>
        <w:t xml:space="preserve">Proprietary source code, configurations and network detail.</w:t>
      </w:r>
    </w:p>
    <w:p>
      <w:pPr>
        <w:pStyle w:val="ListParagraph"/>
        <w:numPr>
          <w:ilvl w:val="0"/>
          <w:numId w:val="5"/>
        </w:numPr>
        <w:spacing w:after="60" w:line="276"/>
      </w:pPr>
      <w:r>
        <w:rPr>
          <w:b/>
          <w:bCs/>
        </w:rPr>
        <w:t xml:space="preserve">Confidential commercial or legally privileged material.</w:t>
      </w:r>
    </w:p>
    <w:p>
      <w:pPr>
        <w:pStyle w:val="Heading2"/>
      </w:pPr>
      <w:r>
        <w:t xml:space="preserve">6.3 Handling</w:t>
      </w:r>
    </w:p>
    <w:p>
      <w:pPr>
        <w:pStyle w:val="ListParagraph"/>
        <w:numPr>
          <w:ilvl w:val="0"/>
          <w:numId w:val="5"/>
        </w:numPr>
        <w:spacing w:after="60" w:line="276"/>
      </w:pPr>
      <w:r>
        <w:t xml:space="preserve">Workers </w:t>
      </w:r>
      <w:r>
        <w:rPr>
          <w:b/>
          <w:bCs/>
        </w:rPr>
        <w:t xml:space="preserve">must</w:t>
      </w:r>
      <w:r>
        <w:t xml:space="preserve"> classify before they paste, and apply the matrix above.</w:t>
      </w:r>
    </w:p>
    <w:p>
      <w:pPr>
        <w:pStyle w:val="ListParagraph"/>
        <w:numPr>
          <w:ilvl w:val="0"/>
          <w:numId w:val="5"/>
        </w:numPr>
        <w:spacing w:after="60" w:line="276"/>
      </w:pPr>
      <w:r>
        <w:t xml:space="preserve">Where AI is genuinely useful on higher-sensitivity material, workers </w:t>
      </w:r>
      <w:r>
        <w:rPr>
          <w:b/>
          <w:bCs/>
        </w:rPr>
        <w:t xml:space="preserve">must</w:t>
      </w:r>
      <w:r>
        <w:t xml:space="preserve"> use </w:t>
      </w:r>
      <w:r>
        <w:rPr>
          <w:b/>
          <w:bCs/>
        </w:rPr>
        <w:t xml:space="preserve">private/on-prem</w:t>
      </w:r>
      <w:r>
        <w:t xml:space="preserve"> AI within {Company Name}'s boundary, where approved.</w:t>
      </w:r>
    </w:p>
    <w:p>
      <w:pPr>
        <w:pStyle w:val="ListParagraph"/>
        <w:numPr>
          <w:ilvl w:val="0"/>
          <w:numId w:val="5"/>
        </w:numPr>
        <w:spacing w:after="60" w:line="276"/>
      </w:pPr>
      <w:r>
        <w:t xml:space="preserve">The approved gateway </w:t>
      </w:r>
      <w:r>
        <w:rPr>
          <w:b/>
          <w:bCs/>
        </w:rPr>
        <w:t xml:space="preserve">must</w:t>
      </w:r>
      <w:r>
        <w:t xml:space="preserve">, where technically feasible, strip or block secrets and PII before they reach any external model (Section 7).</w:t>
      </w:r>
    </w:p>
    <w:p>
      <w:pPr>
        <w:pStyle w:val="Heading1"/>
      </w:pPr>
      <w:r>
        <w:t xml:space="preserve">7. Technical controls</w:t>
      </w:r>
    </w:p>
    <w:p>
      <w:pPr>
        <w:spacing w:after="120" w:line="276"/>
      </w:pPr>
      <w:r>
        <w:t xml:space="preserve">{Company Name} </w:t>
      </w:r>
      <w:r>
        <w:rPr>
          <w:b/>
          <w:bCs/>
        </w:rPr>
        <w:t xml:space="preserve">must</w:t>
      </w:r>
      <w:r>
        <w:t xml:space="preserve"> implement, and SecOps </w:t>
      </w:r>
      <w:r>
        <w:rPr>
          <w:b/>
          <w:bCs/>
        </w:rPr>
        <w:t xml:space="preserve">must</w:t>
      </w:r>
      <w:r>
        <w:t xml:space="preserve"> operate, the following controls. {Mark any control that is phased; each must have a target date.}</w:t>
      </w:r>
    </w:p>
    <w:p>
      <w:pPr>
        <w:pStyle w:val="ListParagraph"/>
        <w:numPr>
          <w:ilvl w:val="0"/>
          <w:numId w:val="6"/>
        </w:numPr>
        <w:spacing w:after="60" w:line="276"/>
      </w:pPr>
      <w:r>
        <w:rPr>
          <w:b/>
          <w:bCs/>
        </w:rPr>
        <w:t xml:space="preserve">Public-LLM egress control.</w:t>
      </w:r>
      <w:r>
        <w:t xml:space="preserve"> Block or restrict network egress to known public/consumer AI endpoints from corporate networks and managed devices, so the sanctioned route is the path of least resistance. Detect and alert on </w:t>
      </w:r>
      <w:r>
        <w:rPr>
          <w:b/>
          <w:bCs/>
        </w:rPr>
        <w:t xml:space="preserve">shadow AI</w:t>
      </w:r>
      <w:r>
        <w:t xml:space="preserve">.</w:t>
      </w:r>
    </w:p>
    <w:p>
      <w:pPr>
        <w:pStyle w:val="ListParagraph"/>
        <w:numPr>
          <w:ilvl w:val="0"/>
          <w:numId w:val="6"/>
        </w:numPr>
        <w:spacing w:after="60" w:line="276"/>
      </w:pPr>
      <w:r>
        <w:rPr>
          <w:b/>
          <w:bCs/>
        </w:rPr>
        <w:t xml:space="preserve">Approved AI gateway.</w:t>
      </w:r>
      <w:r>
        <w:t xml:space="preserve"> Route all sanctioned AI use through a controlled gateway that enforces logging, DLP, secret/PII protection and access control on every interaction.</w:t>
      </w:r>
    </w:p>
    <w:p>
      <w:pPr>
        <w:pStyle w:val="ListParagraph"/>
        <w:numPr>
          <w:ilvl w:val="0"/>
          <w:numId w:val="6"/>
        </w:numPr>
        <w:spacing w:after="60" w:line="276"/>
      </w:pPr>
      <w:r>
        <w:rPr>
          <w:b/>
          <w:bCs/>
        </w:rPr>
        <w:t xml:space="preserve">Data loss prevention (DLP).</w:t>
      </w:r>
      <w:r>
        <w:t xml:space="preserve"> Detect and block sensitive data (secrets, PII, source) from being pasted or uploaded into AI tools; strip or block secrets and PII at the gateway.</w:t>
      </w:r>
    </w:p>
    <w:p>
      <w:pPr>
        <w:pStyle w:val="ListParagraph"/>
        <w:numPr>
          <w:ilvl w:val="0"/>
          <w:numId w:val="6"/>
        </w:numPr>
        <w:spacing w:after="60" w:line="276"/>
      </w:pPr>
      <w:r>
        <w:rPr>
          <w:b/>
          <w:bCs/>
        </w:rPr>
        <w:t xml:space="preserve">Encryption and information-transfer control.</w:t>
      </w:r>
      <w:r>
        <w:t xml:space="preserve"> Protect AI inputs/outputs in transit using cryptography; control information transfer to and from AI services.</w:t>
      </w:r>
    </w:p>
    <w:p>
      <w:pPr>
        <w:pStyle w:val="ListParagraph"/>
        <w:numPr>
          <w:ilvl w:val="0"/>
          <w:numId w:val="6"/>
        </w:numPr>
        <w:spacing w:after="60" w:line="276"/>
      </w:pPr>
      <w:r>
        <w:rPr>
          <w:b/>
          <w:bCs/>
        </w:rPr>
        <w:t xml:space="preserve">Inventory.</w:t>
      </w:r>
      <w:r>
        <w:t xml:space="preserve"> Treat AI use as an asset class and keep it inventoried (the Approved AI Tools Register, Section 5).</w:t>
      </w:r>
    </w:p>
    <w:p>
      <w:pPr>
        <w:pStyle w:val="ListParagraph"/>
        <w:numPr>
          <w:ilvl w:val="0"/>
          <w:numId w:val="6"/>
        </w:numPr>
        <w:spacing w:after="60" w:line="276"/>
      </w:pPr>
      <w:r>
        <w:rPr>
          <w:b/>
          <w:bCs/>
        </w:rPr>
        <w:t xml:space="preserve">Logging.</w:t>
      </w:r>
      <w:r>
        <w:t xml:space="preserve"> Log AI use centrally — what tool, what data category, by whom, when (Section 11).</w:t>
      </w:r>
    </w:p>
    <w:p>
      <w:pPr>
        <w:pStyle w:val="Heading1"/>
      </w:pPr>
      <w:r>
        <w:t xml:space="preserve">8. AI-generated code and remediation rules</w:t>
      </w:r>
    </w:p>
    <w:p>
      <w:pPr>
        <w:spacing w:after="120" w:line="276"/>
      </w:pPr>
      <w:r>
        <w:t xml:space="preserve">AI output is a </w:t>
      </w:r>
      <w:r>
        <w:rPr>
          <w:b/>
          <w:bCs/>
        </w:rPr>
        <w:t xml:space="preserve">draft from an over-confident junior</w:t>
      </w:r>
      <w:r>
        <w:t xml:space="preserve">, never an authority. The following are mandatory.</w:t>
      </w:r>
    </w:p>
    <w:p>
      <w:pPr>
        <w:pStyle w:val="Heading2"/>
      </w:pPr>
      <w:r>
        <w:t xml:space="preserve">8.1 Mandatory human review</w:t>
      </w:r>
    </w:p>
    <w:p>
      <w:pPr>
        <w:spacing w:after="120" w:line="276"/>
      </w:pPr>
      <w:r>
        <w:t xml:space="preserve">No AI-generated code, command, script or change </w:t>
      </w:r>
      <w:r>
        <w:rPr>
          <w:b/>
          <w:bCs/>
        </w:rPr>
        <w:t xml:space="preserve">may</w:t>
      </w:r>
      <w:r>
        <w:t xml:space="preserve"> be merged or executed until a </w:t>
      </w:r>
      <w:r>
        <w:rPr>
          <w:b/>
          <w:bCs/>
        </w:rPr>
        <w:t xml:space="preserve">competent human has reviewed it and can explain it line by line</w:t>
      </w:r>
      <w:r>
        <w:t xml:space="preserve">. A worker </w:t>
      </w:r>
      <w:r>
        <w:rPr>
          <w:b/>
          <w:bCs/>
        </w:rPr>
        <w:t xml:space="preserve">must not</w:t>
      </w:r>
      <w:r>
        <w:t xml:space="preserve"> run a command they cannot explain.</w:t>
      </w:r>
    </w:p>
    <w:p>
      <w:pPr>
        <w:pStyle w:val="Heading2"/>
      </w:pPr>
      <w:r>
        <w:t xml:space="preserve">8.2 Sandbox-before-prod</w:t>
      </w:r>
    </w:p>
    <w:p>
      <w:pPr>
        <w:spacing w:after="120" w:line="276"/>
      </w:pPr>
      <w:r>
        <w:t xml:space="preserve">Any AI-generated command or change </w:t>
      </w:r>
      <w:r>
        <w:rPr>
          <w:b/>
          <w:bCs/>
        </w:rPr>
        <w:t xml:space="preserve">must</w:t>
      </w:r>
      <w:r>
        <w:t xml:space="preserve"> be run first in an isolated, non-production environment to confirm its effect and blast radius, </w:t>
      </w:r>
      <w:r>
        <w:rPr>
          <w:b/>
          <w:bCs/>
        </w:rPr>
        <w:t xml:space="preserve">before</w:t>
      </w:r>
      <w:r>
        <w:t xml:space="preserve"> it is ever applied to live systems.</w:t>
      </w:r>
    </w:p>
    <w:p>
      <w:pPr>
        <w:pStyle w:val="Heading2"/>
      </w:pPr>
      <w:r>
        <w:t xml:space="preserve">8.3 Change control</w:t>
      </w:r>
    </w:p>
    <w:p>
      <w:pPr>
        <w:spacing w:after="120" w:line="276"/>
      </w:pPr>
      <w:r>
        <w:t xml:space="preserve">AI-assisted changes to live systems </w:t>
      </w:r>
      <w:r>
        <w:rPr>
          <w:b/>
          <w:bCs/>
        </w:rPr>
        <w:t xml:space="preserve">must</w:t>
      </w:r>
      <w:r>
        <w:t xml:space="preserve"> go through {Company Name}'s standard change-management process, including a tested rollback. Pasting an error into a chatbot at 2am and running the returned command on production is prohibited (Section 4.2).</w:t>
      </w:r>
    </w:p>
    <w:p>
      <w:pPr>
        <w:pStyle w:val="Heading2"/>
      </w:pPr>
      <w:r>
        <w:t xml:space="preserve">8.4 Least privilege — no standing admin for AI</w:t>
      </w:r>
    </w:p>
    <w:p>
      <w:pPr>
        <w:spacing w:after="120" w:line="276"/>
      </w:pPr>
      <w:r>
        <w:t xml:space="preserve">AI tools and agents </w:t>
      </w:r>
      <w:r>
        <w:rPr>
          <w:b/>
          <w:bCs/>
        </w:rPr>
        <w:t xml:space="preserve">must not</w:t>
      </w:r>
      <w:r>
        <w:t xml:space="preserve"> act with standing domain administrator, root or other privileged access. Use </w:t>
      </w:r>
      <w:r>
        <w:rPr>
          <w:b/>
          <w:bCs/>
        </w:rPr>
        <w:t xml:space="preserve">least privilege and just-in-time access</w:t>
      </w:r>
      <w:r>
        <w:t xml:space="preserve">, and constrain any agent's tool scope to the minimum required. Any consequential agent action </w:t>
      </w:r>
      <w:r>
        <w:rPr>
          <w:b/>
          <w:bCs/>
        </w:rPr>
        <w:t xml:space="preserve">must</w:t>
      </w:r>
      <w:r>
        <w:t xml:space="preserve"> require explicit human approval.</w:t>
      </w:r>
    </w:p>
    <w:p>
      <w:pPr>
        <w:pStyle w:val="Heading2"/>
      </w:pPr>
      <w:r>
        <w:t xml:space="preserve">8.5 Dependency vetting (anti-slopsquatting)</w:t>
      </w:r>
    </w:p>
    <w:p>
      <w:pPr>
        <w:spacing w:after="120" w:line="276"/>
      </w:pPr>
      <w:r>
        <w:t xml:space="preserve">Before any AI-suggested dependency is installed, the worker </w:t>
      </w:r>
      <w:r>
        <w:rPr>
          <w:b/>
          <w:bCs/>
        </w:rPr>
        <w:t xml:space="preserve">must</w:t>
      </w:r>
      <w:r>
        <w:t xml:space="preserve"> verify the package </w:t>
      </w:r>
      <w:r>
        <w:rPr>
          <w:b/>
          <w:bCs/>
        </w:rPr>
        <w:t xml:space="preserve">exists</w:t>
      </w:r>
      <w:r>
        <w:t xml:space="preserve">, is the </w:t>
      </w:r>
      <w:r>
        <w:rPr>
          <w:b/>
          <w:bCs/>
        </w:rPr>
        <w:t xml:space="preserve">intended</w:t>
      </w:r>
      <w:r>
        <w:t xml:space="preserve"> one, and is </w:t>
      </w:r>
      <w:r>
        <w:rPr>
          <w:b/>
          <w:bCs/>
        </w:rPr>
        <w:t xml:space="preserve">reputable</w:t>
      </w:r>
      <w:r>
        <w:t xml:space="preserve">. {Company Name} </w:t>
      </w:r>
      <w:r>
        <w:rPr>
          <w:b/>
          <w:bCs/>
        </w:rPr>
        <w:t xml:space="preserve">must</w:t>
      </w:r>
      <w:r>
        <w:t xml:space="preserve"> use a curated internal registry/allowlist, pin versions with integrity hashes (lockfiles), and run software composition analysis (SCA) in CI; unknown or newly-registered packages </w:t>
      </w:r>
      <w:r>
        <w:rPr>
          <w:b/>
          <w:bCs/>
        </w:rPr>
        <w:t xml:space="preserve">must</w:t>
      </w:r>
      <w:r>
        <w:t xml:space="preserve"> be blocked.</w:t>
      </w:r>
    </w:p>
    <w:p>
      <w:pPr>
        <w:pStyle w:val="Heading2"/>
      </w:pPr>
      <w:r>
        <w:t xml:space="preserve">8.6 Secure-development bar</w:t>
      </w:r>
    </w:p>
    <w:p>
      <w:pPr>
        <w:spacing w:after="120" w:line="276"/>
      </w:pPr>
      <w:r>
        <w:t xml:space="preserve">AI-generated code </w:t>
      </w:r>
      <w:r>
        <w:rPr>
          <w:b/>
          <w:bCs/>
        </w:rPr>
        <w:t xml:space="preserve">must</w:t>
      </w:r>
      <w:r>
        <w:t xml:space="preserve"> pass the </w:t>
      </w:r>
      <w:r>
        <w:rPr>
          <w:b/>
          <w:bCs/>
        </w:rPr>
        <w:t xml:space="preserve">same</w:t>
      </w:r>
      <w:r>
        <w:t xml:space="preserve"> secure-development controls as human code — SAST, secret scanning, secure-coding standards and review gates. AI </w:t>
      </w:r>
      <w:r>
        <w:rPr>
          <w:b/>
          <w:bCs/>
        </w:rPr>
        <w:t xml:space="preserve">must not</w:t>
      </w:r>
      <w:r>
        <w:t xml:space="preserve"> introduce secrets into source; use a secrets manager and scan every commit.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756" w:sz="4"/>
              <w:left w:val="single" w:color="2E4756" w:sz="16"/>
              <w:bottom w:val="single" w:color="2E4756" w:sz="4"/>
              <w:right w:val="single" w:color="2E4756" w:sz="4"/>
            </w:tcBorders>
            <w:shd w:fill="F4F6F5" w:val="clear"/>
            <w:tcMar>
              <w:top w:type="dxa" w:w="120"/>
              <w:left w:type="dxa" w:w="160"/>
              <w:bottom w:type="dxa" w:w="120"/>
              <w:right w:type="dxa" w:w="160"/>
            </w:tcMar>
          </w:tcPr>
          <w:p>
            <w:pPr>
              <w:spacing w:after="60"/>
            </w:pPr>
            <w:r>
              <w:rPr>
                <w:b/>
                <w:bCs/>
                <w:color w:val="2E4756"/>
                <w:sz w:val="20"/>
                <w:szCs w:val="20"/>
              </w:rPr>
              <w:t xml:space="preserve">Why this matters</w:t>
            </w:r>
          </w:p>
          <w:p>
            <w:pPr>
              <w:spacing w:after="40" w:line="264"/>
            </w:pPr>
            <w:r>
              <w:t xml:space="preserve">Across 576,000 AI-generated code samples that produced 2.23 million package references, </w:t>
            </w:r>
            <w:r>
              <w:rPr>
                <w:b/>
                <w:bCs/>
              </w:rPr>
              <w:t xml:space="preserve">19.7%</w:t>
            </w:r>
            <w:r>
              <w:t xml:space="preserve"> (~440,000) of those packages did not exist — the raw material for slopsquatting. In a study of 517 programming questions, an AI assistant's answers were incorrect </w:t>
            </w:r>
            <w:r>
              <w:rPr>
                <w:b/>
                <w:bCs/>
              </w:rPr>
              <w:t xml:space="preserve">52%</w:t>
            </w:r>
            <w:r>
              <w:t xml:space="preserve"> of the time, and users missed the errors </w:t>
            </w:r>
            <w:r>
              <w:rPr>
                <w:b/>
                <w:bCs/>
              </w:rPr>
              <w:t xml:space="preserve">39%</w:t>
            </w:r>
            <w:r>
              <w:t xml:space="preserve"> of the time.</w:t>
            </w:r>
          </w:p>
          <w:p>
            <w:pPr>
              <w:spacing w:after="40" w:line="264"/>
            </w:pPr>
            <w:r>
              <w:t xml:space="preserve">Sources: USENIX Security 2025; Purdue study (arXiv 2308.02312) — see the verified Sources register.</w:t>
            </w:r>
          </w:p>
        </w:tc>
      </w:tr>
    </w:tbl>
    <w:p>
      <w:pPr>
        <w:pStyle w:val="Heading2"/>
      </w:pPr>
      <w:r>
        <w:t xml:space="preserve">8.7 Prompt injection / untrusted input</w:t>
      </w:r>
    </w:p>
    <w:p>
      <w:pPr>
        <w:spacing w:after="120" w:line="276"/>
      </w:pPr>
      <w:r>
        <w:t xml:space="preserve">Where AI (especially agentic AI) ingests external content — web pages, documents, emails, tickets, logs — that content </w:t>
      </w:r>
      <w:r>
        <w:rPr>
          <w:b/>
          <w:bCs/>
        </w:rPr>
        <w:t xml:space="preserve">must</w:t>
      </w:r>
      <w:r>
        <w:t xml:space="preserve"> be treated as </w:t>
      </w:r>
      <w:r>
        <w:rPr>
          <w:b/>
          <w:bCs/>
        </w:rPr>
        <w:t xml:space="preserve">untrusted input</w:t>
      </w:r>
      <w:r>
        <w:t xml:space="preserve">. The NCSC's position is that prompt injection is intrinsic to LLMs and cannot be fully eliminated; it </w:t>
      </w:r>
      <w:r>
        <w:rPr>
          <w:b/>
          <w:bCs/>
        </w:rPr>
        <w:t xml:space="preserve">must</w:t>
      </w:r>
      <w:r>
        <w:t xml:space="preserve"> be contained by design: human approval for consequential actions, tight tool scope, and separation of instructions from data.</w:t>
      </w:r>
    </w:p>
    <w:p>
      <w:pPr>
        <w:pStyle w:val="Heading1"/>
      </w:pPr>
      <w:r>
        <w:t xml:space="preserve">9. Human oversight and accountability</w:t>
      </w:r>
    </w:p>
    <w:p>
      <w:pPr>
        <w:pStyle w:val="ListParagraph"/>
        <w:numPr>
          <w:ilvl w:val="0"/>
          <w:numId w:val="7"/>
        </w:numPr>
        <w:spacing w:after="60" w:line="276"/>
      </w:pPr>
      <w:r>
        <w:rPr>
          <w:b/>
          <w:bCs/>
        </w:rPr>
        <w:t xml:space="preserve">Named ownership.</w:t>
      </w:r>
      <w:r>
        <w:t xml:space="preserve"> Every AI-assisted change to systems or data </w:t>
      </w:r>
      <w:r>
        <w:rPr>
          <w:b/>
          <w:bCs/>
        </w:rPr>
        <w:t xml:space="preserve">must</w:t>
      </w:r>
      <w:r>
        <w:t xml:space="preserve"> have a </w:t>
      </w:r>
      <w:r>
        <w:rPr>
          <w:b/>
          <w:bCs/>
        </w:rPr>
        <w:t xml:space="preserve">named human owner</w:t>
      </w:r>
      <w:r>
        <w:t xml:space="preserve"> who reviewed it, authorised it and is accountable for it. “The AI suggested it” is never a defence.</w:t>
      </w:r>
    </w:p>
    <w:p>
      <w:pPr>
        <w:pStyle w:val="ListParagraph"/>
        <w:numPr>
          <w:ilvl w:val="0"/>
          <w:numId w:val="7"/>
        </w:numPr>
        <w:spacing w:after="60" w:line="276"/>
      </w:pPr>
      <w:r>
        <w:rPr>
          <w:b/>
          <w:bCs/>
        </w:rPr>
        <w:t xml:space="preserve">Human-in-the-loop.</w:t>
      </w:r>
      <w:r>
        <w:t xml:space="preserve"> A competent human </w:t>
      </w:r>
      <w:r>
        <w:rPr>
          <w:b/>
          <w:bCs/>
        </w:rPr>
        <w:t xml:space="preserve">must</w:t>
      </w:r>
      <w:r>
        <w:t xml:space="preserve"> review and explicitly authorise any AI-suggested action — especially any change to systems or data — before it takes effect.</w:t>
      </w:r>
    </w:p>
    <w:p>
      <w:pPr>
        <w:pStyle w:val="ListParagraph"/>
        <w:numPr>
          <w:ilvl w:val="0"/>
          <w:numId w:val="7"/>
        </w:numPr>
        <w:spacing w:after="60" w:line="276"/>
      </w:pPr>
      <w:r>
        <w:rPr>
          <w:b/>
          <w:bCs/>
        </w:rPr>
        <w:t xml:space="preserve">Verification.</w:t>
      </w:r>
      <w:r>
        <w:t xml:space="preserve"> AI output </w:t>
      </w:r>
      <w:r>
        <w:rPr>
          <w:b/>
          <w:bCs/>
        </w:rPr>
        <w:t xml:space="preserve">must</w:t>
      </w:r>
      <w:r>
        <w:t xml:space="preserve"> be verified against authoritative documentation before reliance. The fluency of AI output is a trap, not a safeguard.</w:t>
      </w:r>
    </w:p>
    <w:p>
      <w:pPr>
        <w:pStyle w:val="ListParagraph"/>
        <w:numPr>
          <w:ilvl w:val="0"/>
          <w:numId w:val="7"/>
        </w:numPr>
        <w:spacing w:after="60" w:line="276"/>
      </w:pPr>
      <w:r>
        <w:rPr>
          <w:b/>
          <w:bCs/>
        </w:rPr>
        <w:t xml:space="preserve">Accountability for AI-stated content.</w:t>
      </w:r>
      <w:r>
        <w:t xml:space="preserve"> {Company Name} is accountable for what its AI produces in its name. {Where AI is used in customer-facing or decision-making contexts, confirm additional controls with Legal.}</w:t>
      </w:r>
    </w:p>
    <w:p>
      <w:pPr>
        <w:pStyle w:val="Heading1"/>
      </w:pPr>
      <w:r>
        <w:t xml:space="preserve">10. Risk assessment and DPIA</w:t>
      </w:r>
    </w:p>
    <w:p>
      <w:pPr>
        <w:pStyle w:val="ListParagraph"/>
        <w:numPr>
          <w:ilvl w:val="0"/>
          <w:numId w:val="8"/>
        </w:numPr>
        <w:spacing w:after="60" w:line="276"/>
      </w:pPr>
      <w:r>
        <w:rPr>
          <w:b/>
          <w:bCs/>
        </w:rPr>
        <w:t xml:space="preserve">DPIA before personal-data processing.</w:t>
      </w:r>
      <w:r>
        <w:t xml:space="preserve"> A </w:t>
      </w:r>
      <w:r>
        <w:rPr>
          <w:b/>
          <w:bCs/>
        </w:rPr>
        <w:t xml:space="preserve">Data Protection Impact Assessment</w:t>
      </w:r>
      <w:r>
        <w:t xml:space="preserve"> (UK GDPR Article 35) </w:t>
      </w:r>
      <w:r>
        <w:rPr>
          <w:b/>
          <w:bCs/>
        </w:rPr>
        <w:t xml:space="preserve">must</w:t>
      </w:r>
      <w:r>
        <w:t xml:space="preserve"> be completed </w:t>
      </w:r>
      <w:r>
        <w:rPr>
          <w:b/>
          <w:bCs/>
        </w:rPr>
        <w:t xml:space="preserve">before</w:t>
      </w:r>
      <w:r>
        <w:t xml:space="preserve"> any AI processing of personal data that is likely to result in a high risk to individuals, and </w:t>
      </w:r>
      <w:r>
        <w:rPr>
          <w:b/>
          <w:bCs/>
        </w:rPr>
        <w:t xml:space="preserve">before</w:t>
      </w:r>
      <w:r>
        <w:t xml:space="preserve"> that processing begins.</w:t>
      </w:r>
    </w:p>
    <w:p>
      <w:pPr>
        <w:pStyle w:val="ListParagraph"/>
        <w:numPr>
          <w:ilvl w:val="0"/>
          <w:numId w:val="8"/>
        </w:numPr>
        <w:spacing w:after="60" w:line="276"/>
      </w:pPr>
      <w:r>
        <w:rPr>
          <w:b/>
          <w:bCs/>
        </w:rPr>
        <w:t xml:space="preserve">Lawful basis and transfers.</w:t>
      </w:r>
      <w:r>
        <w:t xml:space="preserve"> {Company Name} </w:t>
      </w:r>
      <w:r>
        <w:rPr>
          <w:b/>
          <w:bCs/>
        </w:rPr>
        <w:t xml:space="preserve">must</w:t>
      </w:r>
      <w:r>
        <w:t xml:space="preserve"> document the </w:t>
      </w:r>
      <w:r>
        <w:rPr>
          <w:b/>
          <w:bCs/>
        </w:rPr>
        <w:t xml:space="preserve">lawful basis</w:t>
      </w:r>
      <w:r>
        <w:t xml:space="preserve"> (UK GDPR Article 6) for any AI processing of personal data, and assess and document any </w:t>
      </w:r>
      <w:r>
        <w:rPr>
          <w:b/>
          <w:bCs/>
        </w:rPr>
        <w:t xml:space="preserve">international transfers</w:t>
      </w:r>
      <w:r>
        <w:t xml:space="preserve"> (UK GDPR Chapter V).</w:t>
      </w:r>
    </w:p>
    <w:p>
      <w:pPr>
        <w:pStyle w:val="ListParagraph"/>
        <w:numPr>
          <w:ilvl w:val="0"/>
          <w:numId w:val="8"/>
        </w:numPr>
        <w:spacing w:after="60" w:line="276"/>
      </w:pPr>
      <w:r>
        <w:rPr>
          <w:b/>
          <w:bCs/>
        </w:rPr>
        <w:t xml:space="preserve">Data protection by design.</w:t>
      </w:r>
      <w:r>
        <w:t xml:space="preserve"> AI processing of personal data </w:t>
      </w:r>
      <w:r>
        <w:rPr>
          <w:b/>
          <w:bCs/>
        </w:rPr>
        <w:t xml:space="preserve">must</w:t>
      </w:r>
      <w:r>
        <w:t xml:space="preserve"> apply data-protection-by-design-and-default (UK GDPR Article 25) and data minimisation (Article 5).</w:t>
      </w:r>
    </w:p>
    <w:p>
      <w:pPr>
        <w:pStyle w:val="ListParagraph"/>
        <w:numPr>
          <w:ilvl w:val="0"/>
          <w:numId w:val="8"/>
        </w:numPr>
        <w:spacing w:after="60" w:line="276"/>
      </w:pPr>
      <w:r>
        <w:rPr>
          <w:b/>
          <w:bCs/>
        </w:rPr>
        <w:t xml:space="preserve">Tool-level risk.</w:t>
      </w:r>
      <w:r>
        <w:t xml:space="preserve"> New AI tools </w:t>
      </w:r>
      <w:r>
        <w:rPr>
          <w:b/>
          <w:bCs/>
        </w:rPr>
        <w:t xml:space="preserve">must</w:t>
      </w:r>
      <w:r>
        <w:t xml:space="preserve"> be risk-assessed at onboarding (Section 5) and their risk re-mapped on material change. {The DPO owns the DPIA; the Policy Owner owns the tool risk assessment.}</w:t>
      </w:r>
    </w:p>
    <w:p>
      <w:pPr>
        <w:pStyle w:val="Heading1"/>
      </w:pPr>
      <w:r>
        <w:t xml:space="preserve">11. Monitoring, logging and audit</w:t>
      </w:r>
    </w:p>
    <w:p>
      <w:pPr>
        <w:pStyle w:val="ListParagraph"/>
        <w:numPr>
          <w:ilvl w:val="0"/>
          <w:numId w:val="9"/>
        </w:numPr>
        <w:spacing w:after="60" w:line="276"/>
      </w:pPr>
      <w:r>
        <w:rPr>
          <w:b/>
          <w:bCs/>
        </w:rPr>
        <w:t xml:space="preserve">Logging.</w:t>
      </w:r>
      <w:r>
        <w:t xml:space="preserve"> AI use </w:t>
      </w:r>
      <w:r>
        <w:rPr>
          <w:b/>
          <w:bCs/>
        </w:rPr>
        <w:t xml:space="preserve">must</w:t>
      </w:r>
      <w:r>
        <w:t xml:space="preserve"> be logged centrally and sufficiently to support detection, accountability and breach reconstruction — at minimum: tool used, data category, user, and timestamp.</w:t>
      </w:r>
    </w:p>
    <w:p>
      <w:pPr>
        <w:pStyle w:val="ListParagraph"/>
        <w:numPr>
          <w:ilvl w:val="0"/>
          <w:numId w:val="9"/>
        </w:numPr>
        <w:spacing w:after="60" w:line="276"/>
      </w:pPr>
      <w:r>
        <w:rPr>
          <w:b/>
          <w:bCs/>
        </w:rPr>
        <w:t xml:space="preserve">Monitoring.</w:t>
      </w:r>
      <w:r>
        <w:t xml:space="preserve"> SecOps </w:t>
      </w:r>
      <w:r>
        <w:rPr>
          <w:b/>
          <w:bCs/>
        </w:rPr>
        <w:t xml:space="preserve">must</w:t>
      </w:r>
      <w:r>
        <w:t xml:space="preserve"> monitor for shadow AI, policy breaches and anomalous AI activity.</w:t>
      </w:r>
    </w:p>
    <w:p>
      <w:pPr>
        <w:pStyle w:val="ListParagraph"/>
        <w:numPr>
          <w:ilvl w:val="0"/>
          <w:numId w:val="9"/>
        </w:numPr>
        <w:spacing w:after="60" w:line="276"/>
      </w:pPr>
      <w:r>
        <w:rPr>
          <w:b/>
          <w:bCs/>
        </w:rPr>
        <w:t xml:space="preserve">Audit.</w:t>
      </w:r>
      <w:r>
        <w:t xml:space="preserve"> Logs and the Approved AI Tools Register </w:t>
      </w:r>
      <w:r>
        <w:rPr>
          <w:b/>
          <w:bCs/>
        </w:rPr>
        <w:t xml:space="preserve">must</w:t>
      </w:r>
      <w:r>
        <w:t xml:space="preserve"> be retained per {Company Name}'s retention schedule and made available for internal and external audit and for certification evidence. {Set the retention period and confirm it against legal/contractual requirements.}</w:t>
      </w:r>
    </w:p>
    <w:p>
      <w:pPr>
        <w:pStyle w:val="ListParagraph"/>
        <w:numPr>
          <w:ilvl w:val="0"/>
          <w:numId w:val="9"/>
        </w:numPr>
        <w:spacing w:after="60" w:line="276"/>
      </w:pPr>
      <w:r>
        <w:rPr>
          <w:b/>
          <w:bCs/>
        </w:rPr>
        <w:t xml:space="preserve">Privacy of monitoring.</w:t>
      </w:r>
      <w:r>
        <w:t xml:space="preserve"> Monitoring of workers </w:t>
      </w:r>
      <w:r>
        <w:rPr>
          <w:b/>
          <w:bCs/>
        </w:rPr>
        <w:t xml:space="preserve">must</w:t>
      </w:r>
      <w:r>
        <w:t xml:space="preserve"> itself be lawful, proportionate and communicated. {Confirm with the DPO and reference {Company Name}'s monitoring/privacy notice.}</w:t>
      </w:r>
    </w:p>
    <w:p>
      <w:pPr>
        <w:pStyle w:val="Heading1"/>
      </w:pPr>
      <w:r>
        <w:t xml:space="preserve">12. Incident handling</w:t>
      </w:r>
    </w:p>
    <w:p>
      <w:pPr>
        <w:spacing w:after="120" w:line="276"/>
      </w:pPr>
      <w:r>
        <w:t xml:space="preserve">This section links to {Company Name}'s </w:t>
      </w:r>
      <w:r>
        <w:rPr>
          <w:b/>
          <w:bCs/>
        </w:rPr>
        <w:t xml:space="preserve">Incident Response (IR) plan</w:t>
      </w:r>
      <w:r>
        <w:t xml:space="preserve">; AI incidents are handled through that plan with the AI-specific steps below.</w:t>
      </w:r>
    </w:p>
    <w:p>
      <w:pPr>
        <w:pStyle w:val="Heading2"/>
      </w:pPr>
      <w:r>
        <w:t xml:space="preserve">12.1 What counts as an AI incident</w:t>
      </w:r>
    </w:p>
    <w:p>
      <w:pPr>
        <w:spacing w:after="120" w:line="276"/>
      </w:pPr>
      <w:r>
        <w:t xml:space="preserve">Including, but not limited to: sensitive data (secrets, PII, source, config) entered into a non-sanctioned or public AI tool; a destructive or unauthorised AI-driven change to systems or data; a prompt-injection compromise of an agent; or installation of a malicious AI-suggested dependency.</w:t>
      </w:r>
    </w:p>
    <w:p>
      <w:pPr>
        <w:pStyle w:val="Heading2"/>
      </w:pPr>
      <w:r>
        <w:t xml:space="preserve">12.2 Steps</w:t>
      </w:r>
    </w:p>
    <w:p>
      <w:pPr>
        <w:pStyle w:val="ListParagraph"/>
        <w:numPr>
          <w:ilvl w:val="0"/>
          <w:numId w:val="10"/>
        </w:numPr>
        <w:spacing w:after="60" w:line="276"/>
      </w:pPr>
      <w:r>
        <w:rPr>
          <w:b/>
          <w:bCs/>
        </w:rPr>
        <w:t xml:space="preserve">Detect &amp; report.</w:t>
      </w:r>
      <w:r>
        <w:t xml:space="preserve"> Any worker who suspects an AI incident </w:t>
      </w:r>
      <w:r>
        <w:rPr>
          <w:b/>
          <w:bCs/>
        </w:rPr>
        <w:t xml:space="preserve">must</w:t>
      </w:r>
      <w:r>
        <w:t xml:space="preserve"> report it immediately to {Security / service desk — contact} under the IR plan. Reporting in good faith is expected and protected.</w:t>
      </w:r>
    </w:p>
    <w:p>
      <w:pPr>
        <w:pStyle w:val="ListParagraph"/>
        <w:numPr>
          <w:ilvl w:val="0"/>
          <w:numId w:val="10"/>
        </w:numPr>
        <w:spacing w:after="60" w:line="276"/>
      </w:pPr>
      <w:r>
        <w:rPr>
          <w:b/>
          <w:bCs/>
        </w:rPr>
        <w:t xml:space="preserve">Contain.</w:t>
      </w:r>
      <w:r>
        <w:t xml:space="preserve"> Stop the activity; isolate affected systems; </w:t>
      </w:r>
      <w:r>
        <w:rPr>
          <w:b/>
          <w:bCs/>
        </w:rPr>
        <w:t xml:space="preserve">rotate any exposed secrets immediately</w:t>
      </w:r>
      <w:r>
        <w:t xml:space="preserve">; revoke compromised access.</w:t>
      </w:r>
    </w:p>
    <w:p>
      <w:pPr>
        <w:pStyle w:val="ListParagraph"/>
        <w:numPr>
          <w:ilvl w:val="0"/>
          <w:numId w:val="10"/>
        </w:numPr>
        <w:spacing w:after="60" w:line="276"/>
      </w:pPr>
      <w:r>
        <w:rPr>
          <w:b/>
          <w:bCs/>
        </w:rPr>
        <w:t xml:space="preserve">Assess.</w:t>
      </w:r>
      <w:r>
        <w:t xml:space="preserve"> Determine what data/systems were affected and whether </w:t>
      </w:r>
      <w:r>
        <w:rPr>
          <w:b/>
          <w:bCs/>
        </w:rPr>
        <w:t xml:space="preserve">personal data</w:t>
      </w:r>
      <w:r>
        <w:t xml:space="preserve"> was involved.</w:t>
      </w:r>
    </w:p>
    <w:p>
      <w:pPr>
        <w:pStyle w:val="ListParagraph"/>
        <w:numPr>
          <w:ilvl w:val="0"/>
          <w:numId w:val="10"/>
        </w:numPr>
        <w:spacing w:after="60" w:line="276"/>
      </w:pPr>
      <w:r>
        <w:rPr>
          <w:b/>
          <w:bCs/>
        </w:rPr>
        <w:t xml:space="preserve">Notify — ICO 72-hour duty.</w:t>
      </w:r>
      <w:r>
        <w:t xml:space="preserve"> If the incident is a notifiable </w:t>
      </w:r>
      <w:r>
        <w:rPr>
          <w:b/>
          <w:bCs/>
        </w:rPr>
        <w:t xml:space="preserve">personal-data breach</w:t>
      </w:r>
      <w:r>
        <w:t xml:space="preserve">, {Company Name} </w:t>
      </w:r>
      <w:r>
        <w:rPr>
          <w:b/>
          <w:bCs/>
        </w:rPr>
        <w:t xml:space="preserve">must</w:t>
      </w:r>
      <w:r>
        <w:t xml:space="preserve"> report it to the </w:t>
      </w:r>
      <w:r>
        <w:rPr>
          <w:b/>
          <w:bCs/>
        </w:rPr>
        <w:t xml:space="preserve">ICO without undue delay and within 72 hours</w:t>
      </w:r>
      <w:r>
        <w:t xml:space="preserve"> of becoming aware of it (UK GDPR Article 33). The </w:t>
      </w:r>
      <w:r>
        <w:rPr>
          <w:b/>
          <w:bCs/>
        </w:rPr>
        <w:t xml:space="preserve">DPO</w:t>
      </w:r>
      <w:r>
        <w:t xml:space="preserve"> decides notifiability; affected individuals </w:t>
      </w:r>
      <w:r>
        <w:rPr>
          <w:b/>
          <w:bCs/>
        </w:rPr>
        <w:t xml:space="preserve">must</w:t>
      </w:r>
      <w:r>
        <w:t xml:space="preserve"> be informed where required. {Phased reporting is permitted where full detail is not yet available — confirm process with the DPO.}</w:t>
      </w:r>
    </w:p>
    <w:p>
      <w:pPr>
        <w:pStyle w:val="ListParagraph"/>
        <w:numPr>
          <w:ilvl w:val="0"/>
          <w:numId w:val="10"/>
        </w:numPr>
        <w:spacing w:after="60" w:line="276"/>
      </w:pPr>
      <w:r>
        <w:rPr>
          <w:b/>
          <w:bCs/>
        </w:rPr>
        <w:t xml:space="preserve">Recover &amp; learn.</w:t>
      </w:r>
      <w:r>
        <w:t xml:space="preserve"> Restore from backup as needed; record root cause; feed lessons back into this policy, training and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756" w:sz="4"/>
              <w:left w:val="single" w:color="2E4756" w:sz="16"/>
              <w:bottom w:val="single" w:color="2E4756" w:sz="4"/>
              <w:right w:val="single" w:color="2E4756" w:sz="4"/>
            </w:tcBorders>
            <w:shd w:fill="F4F6F5" w:val="clear"/>
            <w:tcMar>
              <w:top w:type="dxa" w:w="120"/>
              <w:left w:type="dxa" w:w="160"/>
              <w:bottom w:type="dxa" w:w="120"/>
              <w:right w:type="dxa" w:w="160"/>
            </w:tcMar>
          </w:tcPr>
          <w:p>
            <w:pPr>
              <w:spacing w:after="60"/>
            </w:pPr>
            <w:r>
              <w:rPr>
                <w:b/>
                <w:bCs/>
                <w:color w:val="2E4756"/>
                <w:sz w:val="20"/>
                <w:szCs w:val="20"/>
              </w:rPr>
              <w:t xml:space="preserve">Why the clock matters</w:t>
            </w:r>
          </w:p>
          <w:p>
            <w:pPr>
              <w:spacing w:after="40" w:line="264"/>
            </w:pPr>
            <w:r>
              <w:t xml:space="preserve">UK GDPR fines reach </w:t>
            </w:r>
            <w:r>
              <w:rPr>
                <w:b/>
                <w:bCs/>
              </w:rPr>
              <w:t xml:space="preserve">£17.5 million or 4% of total annual worldwide turnover, whichever is higher</w:t>
            </w:r>
            <w:r>
              <w:t xml:space="preserve">; a notifiable breach must reach the ICO </w:t>
            </w:r>
            <w:r>
              <w:rPr>
                <w:b/>
                <w:bCs/>
              </w:rPr>
              <w:t xml:space="preserve">within 72 hours</w:t>
            </w:r>
            <w:r>
              <w:t xml:space="preserve">. Illustratively, the Italian regulator fined OpenAI </w:t>
            </w:r>
            <w:r>
              <w:rPr>
                <w:b/>
                <w:bCs/>
              </w:rPr>
              <w:t xml:space="preserve">€15m</w:t>
            </w:r>
            <w:r>
              <w:t xml:space="preserve"> in December 2024 (under appeal) — an EU action — partly for failing to notify a breach.</w:t>
            </w:r>
          </w:p>
          <w:p>
            <w:pPr>
              <w:spacing w:after="40" w:line="264"/>
            </w:pPr>
            <w:r>
              <w:t xml:space="preserve">Sources: ICO fining guidance; ICO breach-reporting guidance; Garante via The Hacker News — see the verified Sources register.</w:t>
            </w:r>
          </w:p>
        </w:tc>
      </w:tr>
    </w:tbl>
    <w:p>
      <w:pPr>
        <w:pStyle w:val="Heading1"/>
      </w:pPr>
      <w:r>
        <w:t xml:space="preserve">13. Training and awareness</w:t>
      </w:r>
    </w:p>
    <w:p>
      <w:pPr>
        <w:pStyle w:val="ListParagraph"/>
        <w:numPr>
          <w:ilvl w:val="0"/>
          <w:numId w:val="11"/>
        </w:numPr>
        <w:spacing w:after="60" w:line="276"/>
      </w:pPr>
      <w:r>
        <w:rPr>
          <w:b/>
          <w:bCs/>
        </w:rPr>
        <w:t xml:space="preserve">Mandatory training.</w:t>
      </w:r>
      <w:r>
        <w:t xml:space="preserve"> All workers in scope </w:t>
      </w:r>
      <w:r>
        <w:rPr>
          <w:b/>
          <w:bCs/>
        </w:rPr>
        <w:t xml:space="preserve">must</w:t>
      </w:r>
      <w:r>
        <w:t xml:space="preserve"> complete {Company Name}'s </w:t>
      </w:r>
      <w:r>
        <w:rPr>
          <w:b/>
          <w:bCs/>
        </w:rPr>
        <w:t xml:space="preserve">AI Acceptable Use</w:t>
      </w:r>
      <w:r>
        <w:t xml:space="preserve"> awareness training </w:t>
      </w:r>
      <w:r>
        <w:rPr>
          <w:b/>
          <w:bCs/>
        </w:rPr>
        <w:t xml:space="preserve">before</w:t>
      </w:r>
      <w:r>
        <w:t xml:space="preserve"> using AI for {Company Name} work, and </w:t>
      </w:r>
      <w:r>
        <w:rPr>
          <w:b/>
          <w:bCs/>
        </w:rPr>
        <w:t xml:space="preserve">at least annually</w:t>
      </w:r>
      <w:r>
        <w:t xml:space="preserve"> thereafter.</w:t>
      </w:r>
    </w:p>
    <w:p>
      <w:pPr>
        <w:pStyle w:val="ListParagraph"/>
        <w:numPr>
          <w:ilvl w:val="0"/>
          <w:numId w:val="11"/>
        </w:numPr>
        <w:spacing w:after="60" w:line="276"/>
      </w:pPr>
      <w:r>
        <w:rPr>
          <w:b/>
          <w:bCs/>
        </w:rPr>
        <w:t xml:space="preserve">Attestation.</w:t>
      </w:r>
      <w:r>
        <w:t xml:space="preserve"> Completion of the training </w:t>
      </w:r>
      <w:r>
        <w:rPr>
          <w:b/>
          <w:bCs/>
        </w:rPr>
        <w:t xml:space="preserve">must</w:t>
      </w:r>
      <w:r>
        <w:t xml:space="preserve"> be recorded as the worker's </w:t>
      </w:r>
      <w:r>
        <w:rPr>
          <w:b/>
          <w:bCs/>
        </w:rPr>
        <w:t xml:space="preserve">attestation</w:t>
      </w:r>
      <w:r>
        <w:t xml:space="preserve"> to this policy. {Company Name} </w:t>
      </w:r>
      <w:r>
        <w:rPr>
          <w:b/>
          <w:bCs/>
        </w:rPr>
        <w:t xml:space="preserve">must</w:t>
      </w:r>
      <w:r>
        <w:t xml:space="preserve"> retain attestation records as compliance evidence.</w:t>
      </w:r>
    </w:p>
    <w:p>
      <w:pPr>
        <w:pStyle w:val="ListParagraph"/>
        <w:numPr>
          <w:ilvl w:val="0"/>
          <w:numId w:val="11"/>
        </w:numPr>
        <w:spacing w:after="60" w:line="276"/>
      </w:pPr>
      <w:r>
        <w:rPr>
          <w:b/>
          <w:bCs/>
        </w:rPr>
        <w:t xml:space="preserve">Role-specific training.</w:t>
      </w:r>
      <w:r>
        <w:t xml:space="preserve"> IT/engineering staff </w:t>
      </w:r>
      <w:r>
        <w:rPr>
          <w:b/>
          <w:bCs/>
        </w:rPr>
        <w:t xml:space="preserve">must</w:t>
      </w:r>
      <w:r>
        <w:t xml:space="preserve"> additionally complete the technical track (destructive commands, data leakage, secure habits).</w:t>
      </w:r>
    </w:p>
    <w:p>
      <w:pPr>
        <w:pStyle w:val="ListParagraph"/>
        <w:numPr>
          <w:ilvl w:val="0"/>
          <w:numId w:val="11"/>
        </w:numPr>
        <w:spacing w:after="60" w:line="276"/>
      </w:pPr>
      <w:r>
        <w:rPr>
          <w:b/>
          <w:bCs/>
        </w:rPr>
        <w:t xml:space="preserve">Refresh on change.</w:t>
      </w:r>
      <w:r>
        <w:t xml:space="preserve"> Training </w:t>
      </w:r>
      <w:r>
        <w:rPr>
          <w:b/>
          <w:bCs/>
        </w:rPr>
        <w:t xml:space="preserve">must</w:t>
      </w:r>
      <w:r>
        <w:t xml:space="preserve"> be updated and re-issued when this policy or the threat landscape materially changes.</w:t>
      </w:r>
    </w:p>
    <w:p>
      <w:pPr>
        <w:pStyle w:val="Heading1"/>
      </w:pPr>
      <w:r>
        <w:t xml:space="preserve">14. Exceptions process</w:t>
      </w:r>
    </w:p>
    <w:p>
      <w:pPr>
        <w:pStyle w:val="ListParagraph"/>
        <w:numPr>
          <w:ilvl w:val="0"/>
          <w:numId w:val="12"/>
        </w:numPr>
        <w:spacing w:after="60" w:line="276"/>
      </w:pPr>
      <w:r>
        <w:rPr>
          <w:b/>
          <w:bCs/>
        </w:rPr>
        <w:t xml:space="preserve">Request.</w:t>
      </w:r>
      <w:r>
        <w:t xml:space="preserve"> Any exception to this policy </w:t>
      </w:r>
      <w:r>
        <w:rPr>
          <w:b/>
          <w:bCs/>
        </w:rPr>
        <w:t xml:space="preserve">must</w:t>
      </w:r>
      <w:r>
        <w:t xml:space="preserve"> be requested in writing to the Policy Owner, stating the business need, the specific clause(s) to be excepted, the data involved and the compensating controls.</w:t>
      </w:r>
    </w:p>
    <w:p>
      <w:pPr>
        <w:pStyle w:val="ListParagraph"/>
        <w:numPr>
          <w:ilvl w:val="0"/>
          <w:numId w:val="12"/>
        </w:numPr>
        <w:spacing w:after="60" w:line="276"/>
      </w:pPr>
      <w:r>
        <w:rPr>
          <w:b/>
          <w:bCs/>
        </w:rPr>
        <w:t xml:space="preserve">Risk acceptance.</w:t>
      </w:r>
      <w:r>
        <w:t xml:space="preserve"> An exception is a documented, explicit </w:t>
      </w:r>
      <w:r>
        <w:rPr>
          <w:b/>
          <w:bCs/>
        </w:rPr>
        <w:t xml:space="preserve">risk acceptance</w:t>
      </w:r>
      <w:r>
        <w:t xml:space="preserve">. Where personal data is involved, the </w:t>
      </w:r>
      <w:r>
        <w:rPr>
          <w:b/>
          <w:bCs/>
        </w:rPr>
        <w:t xml:space="preserve">DPO must be consulted</w:t>
      </w:r>
      <w:r>
        <w:t xml:space="preserve">. Where the residual risk is material, the </w:t>
      </w:r>
      <w:r>
        <w:rPr>
          <w:b/>
          <w:bCs/>
        </w:rPr>
        <w:t xml:space="preserve">Executive sponsor / SIRO must approve</w:t>
      </w:r>
      <w:r>
        <w:t xml:space="preserve">.</w:t>
      </w:r>
    </w:p>
    <w:p>
      <w:pPr>
        <w:pStyle w:val="ListParagraph"/>
        <w:numPr>
          <w:ilvl w:val="0"/>
          <w:numId w:val="12"/>
        </w:numPr>
        <w:spacing w:after="60" w:line="276"/>
      </w:pPr>
      <w:r>
        <w:rPr>
          <w:b/>
          <w:bCs/>
        </w:rPr>
        <w:t xml:space="preserve">Time-bound.</w:t>
      </w:r>
      <w:r>
        <w:t xml:space="preserve"> Every exception </w:t>
      </w:r>
      <w:r>
        <w:rPr>
          <w:b/>
          <w:bCs/>
        </w:rPr>
        <w:t xml:space="preserve">must</w:t>
      </w:r>
      <w:r>
        <w:t xml:space="preserve"> be </w:t>
      </w:r>
      <w:r>
        <w:rPr>
          <w:b/>
          <w:bCs/>
        </w:rPr>
        <w:t xml:space="preserve">time-bound</w:t>
      </w:r>
      <w:r>
        <w:t xml:space="preserve"> (maximum {e.g. 90 days}) and recorded in an exceptions register with an expiry and review date.</w:t>
      </w:r>
    </w:p>
    <w:p>
      <w:pPr>
        <w:pStyle w:val="ListParagraph"/>
        <w:numPr>
          <w:ilvl w:val="0"/>
          <w:numId w:val="12"/>
        </w:numPr>
        <w:spacing w:after="60" w:line="276"/>
      </w:pPr>
      <w:r>
        <w:rPr>
          <w:b/>
          <w:bCs/>
        </w:rPr>
        <w:t xml:space="preserve">No self-approval.</w:t>
      </w:r>
      <w:r>
        <w:t xml:space="preserve"> A worker </w:t>
      </w:r>
      <w:r>
        <w:rPr>
          <w:b/>
          <w:bCs/>
        </w:rPr>
        <w:t xml:space="preserve">must not</w:t>
      </w:r>
      <w:r>
        <w:t xml:space="preserve"> approve their own exception. Exceptions </w:t>
      </w:r>
      <w:r>
        <w:rPr>
          <w:b/>
          <w:bCs/>
        </w:rPr>
        <w:t xml:space="preserve">must not</w:t>
      </w:r>
      <w:r>
        <w:t xml:space="preserve"> be used to routinely bypass controls.</w:t>
      </w:r>
    </w:p>
    <w:p>
      <w:pPr>
        <w:pStyle w:val="Heading1"/>
      </w:pPr>
      <w:r>
        <w:t xml:space="preserve">15. Enforcement and sanctions</w:t>
      </w:r>
    </w:p>
    <w:p>
      <w:pPr>
        <w:pStyle w:val="ListParagraph"/>
        <w:numPr>
          <w:ilvl w:val="0"/>
          <w:numId w:val="13"/>
        </w:numPr>
        <w:spacing w:after="60" w:line="276"/>
      </w:pPr>
      <w:r>
        <w:t xml:space="preserve">Compliance with this policy is </w:t>
      </w:r>
      <w:r>
        <w:rPr>
          <w:b/>
          <w:bCs/>
        </w:rPr>
        <w:t xml:space="preserve">mandatory</w:t>
      </w:r>
      <w:r>
        <w:t xml:space="preserve">. Breach may be treated as a disciplinary matter under {Company Name}'s disciplinary procedure, up to and including {dismissal}, and may have contractual consequences for contractors/third parties. {Confirm wording with HR and Legal.}</w:t>
      </w:r>
    </w:p>
    <w:p>
      <w:pPr>
        <w:pStyle w:val="ListParagraph"/>
        <w:numPr>
          <w:ilvl w:val="0"/>
          <w:numId w:val="13"/>
        </w:numPr>
        <w:spacing w:after="60" w:line="276"/>
      </w:pPr>
      <w:r>
        <w:t xml:space="preserve">Deliberately bypassing controls, using shadow AI, or entering Restricted data into a non-sanctioned tool is a </w:t>
      </w:r>
      <w:r>
        <w:rPr>
          <w:b/>
          <w:bCs/>
        </w:rPr>
        <w:t xml:space="preserve">serious breach</w:t>
      </w:r>
      <w:r>
        <w:t xml:space="preserve">.</w:t>
      </w:r>
    </w:p>
    <w:p>
      <w:pPr>
        <w:pStyle w:val="ListParagraph"/>
        <w:numPr>
          <w:ilvl w:val="0"/>
          <w:numId w:val="13"/>
        </w:numPr>
        <w:spacing w:after="60" w:line="276"/>
      </w:pPr>
      <w:r>
        <w:t xml:space="preserve">Where a breach may also be a legal or regulatory matter (e.g. a personal-data breach), Section 12 applies in parallel.</w:t>
      </w:r>
    </w:p>
    <w:p>
      <w:pPr>
        <w:pStyle w:val="ListParagraph"/>
        <w:numPr>
          <w:ilvl w:val="0"/>
          <w:numId w:val="13"/>
        </w:numPr>
        <w:spacing w:after="60" w:line="276"/>
      </w:pPr>
      <w:r>
        <w:t xml:space="preserve">Sanctions </w:t>
      </w:r>
      <w:r>
        <w:rPr>
          <w:b/>
          <w:bCs/>
        </w:rPr>
        <w:t xml:space="preserve">must</w:t>
      </w:r>
      <w:r>
        <w:t xml:space="preserve"> be applied </w:t>
      </w:r>
      <w:r>
        <w:rPr>
          <w:b/>
          <w:bCs/>
        </w:rPr>
        <w:t xml:space="preserve">consistently and proportionately</w:t>
      </w:r>
      <w:r>
        <w:t xml:space="preserve">, taking account of intent, harm and whether the worker self-reported.</w:t>
      </w:r>
    </w:p>
    <w:p>
      <w:pPr>
        <w:pStyle w:val="Heading1"/>
      </w:pPr>
      <w:r>
        <w:t xml:space="preserve">16. Review cycle, ownership and version control</w:t>
      </w:r>
    </w:p>
    <w:p>
      <w:pPr>
        <w:pStyle w:val="ListParagraph"/>
        <w:numPr>
          <w:ilvl w:val="0"/>
          <w:numId w:val="14"/>
        </w:numPr>
        <w:spacing w:after="60" w:line="276"/>
      </w:pPr>
      <w:r>
        <w:rPr>
          <w:b/>
          <w:bCs/>
        </w:rPr>
        <w:t xml:space="preserve">Owner.</w:t>
      </w:r>
      <w:r>
        <w:t xml:space="preserve"> This policy is owned by the </w:t>
      </w:r>
      <w:r>
        <w:rPr>
          <w:b/>
          <w:bCs/>
        </w:rPr>
        <w:t xml:space="preserve">{Policy Owner — e.g. CISO / Head of Information Security}</w:t>
      </w:r>
      <w:r>
        <w:t xml:space="preserve">.</w:t>
      </w:r>
    </w:p>
    <w:p>
      <w:pPr>
        <w:pStyle w:val="ListParagraph"/>
        <w:numPr>
          <w:ilvl w:val="0"/>
          <w:numId w:val="14"/>
        </w:numPr>
        <w:spacing w:after="60" w:line="276"/>
      </w:pPr>
      <w:r>
        <w:rPr>
          <w:b/>
          <w:bCs/>
        </w:rPr>
        <w:t xml:space="preserve">Review cycle.</w:t>
      </w:r>
      <w:r>
        <w:t xml:space="preserve"> It </w:t>
      </w:r>
      <w:r>
        <w:rPr>
          <w:b/>
          <w:bCs/>
        </w:rPr>
        <w:t xml:space="preserve">must</w:t>
      </w:r>
      <w:r>
        <w:t xml:space="preserve"> be reviewed at least </w:t>
      </w:r>
      <w:r>
        <w:rPr>
          <w:b/>
          <w:bCs/>
        </w:rPr>
        <w:t xml:space="preserve">every 12 months</w:t>
      </w:r>
      <w:r>
        <w:t xml:space="preserve">, and </w:t>
      </w:r>
      <w:r>
        <w:rPr>
          <w:b/>
          <w:bCs/>
        </w:rPr>
        <w:t xml:space="preserve">sooner</w:t>
      </w:r>
      <w:r>
        <w:t xml:space="preserve"> on a material change in technology, the threat landscape, or law/regulation.</w:t>
      </w:r>
    </w:p>
    <w:p>
      <w:pPr>
        <w:pStyle w:val="ListParagraph"/>
        <w:numPr>
          <w:ilvl w:val="0"/>
          <w:numId w:val="14"/>
        </w:numPr>
        <w:spacing w:after="60" w:line="276"/>
      </w:pPr>
      <w:r>
        <w:rPr>
          <w:b/>
          <w:bCs/>
        </w:rPr>
        <w:t xml:space="preserve">Version control.</w:t>
      </w:r>
      <w:r>
        <w:t xml:space="preserve"> All changes </w:t>
      </w:r>
      <w:r>
        <w:rPr>
          <w:b/>
          <w:bCs/>
        </w:rPr>
        <w:t xml:space="preserve">must</w:t>
      </w:r>
      <w:r>
        <w:t xml:space="preserve"> be recorded in the version/revision history (Document control). The approved version is the record copy held at {policy repository / location}.</w:t>
      </w:r>
    </w:p>
    <w:p>
      <w:pPr>
        <w:pStyle w:val="ListParagraph"/>
        <w:numPr>
          <w:ilvl w:val="0"/>
          <w:numId w:val="14"/>
        </w:numPr>
        <w:spacing w:after="60" w:line="276"/>
      </w:pPr>
      <w:r>
        <w:rPr>
          <w:b/>
          <w:bCs/>
        </w:rPr>
        <w:t xml:space="preserve">Approval.</w:t>
      </w:r>
      <w:r>
        <w:t xml:space="preserve"> Material changes </w:t>
      </w:r>
      <w:r>
        <w:rPr>
          <w:b/>
          <w:bCs/>
        </w:rPr>
        <w:t xml:space="preserve">must</w:t>
      </w:r>
      <w:r>
        <w:t xml:space="preserve"> be re-approved by the </w:t>
      </w:r>
      <w:r>
        <w:rPr>
          <w:b/>
          <w:bCs/>
        </w:rPr>
        <w:t xml:space="preserve">{Approver}</w:t>
      </w:r>
      <w:r>
        <w:t xml:space="preserve">.</w:t>
      </w:r>
    </w:p>
    <w:p>
      <w:pPr>
        <w:sectPr>
          <w:headerReference w:type="default" r:id="rId7"/>
          <w:footerReference w:type="default" r:id="rId8"/>
          <w:type w:val="nextPage"/>
          <w:pgSz w:w="12240" w:h="15840" w:orient="portrait"/>
          <w:pgMar w:top="1440" w:right="1440" w:bottom="1440" w:left="1440" w:header="708" w:footer="708" w:gutter="0"/>
          <w:pgNumType w:start="1"/>
          <w:docGrid w:linePitch="360"/>
        </w:sectPr>
      </w:pPr>
    </w:p>
    <w:p>
      <w:pPr>
        <w:pStyle w:val="Heading1"/>
      </w:pPr>
      <w:r>
        <w:t xml:space="preserve">Appendix A — Framework control mapping</w:t>
      </w:r>
    </w:p>
    <w:p>
      <w:pPr>
        <w:spacing w:after="120" w:line="276"/>
      </w:pPr>
      <w:r>
        <w:t xml:space="preserve">Every clause area below maps to </w:t>
      </w:r>
      <w:r>
        <w:rPr>
          <w:b/>
          <w:bCs/>
        </w:rPr>
        <w:t xml:space="preserve">real, verified</w:t>
      </w:r>
      <w:r>
        <w:t xml:space="preserve"> control references: ISO/IEC 27001:2022 Annex A, the NIST AI RMF function(s), and UK GDPR / DPA 2018 (ICO) and NCSC guidance, with ISO/IEC 42001:2023 noted where it strengthens the mapping. Control IDs and titles are cited verbatim from the verified mapping source.</w:t>
      </w:r>
    </w:p>
    <w:p>
      <w:pPr>
        <w:pStyle w:val="Heading2"/>
      </w:pPr>
      <w:r>
        <w:t xml:space="preserve">Frameworks referenced</w:t>
      </w:r>
    </w:p>
    <w:p>
      <w:pPr>
        <w:pStyle w:val="ListParagraph"/>
        <w:numPr>
          <w:ilvl w:val="0"/>
          <w:numId w:val="5"/>
        </w:numPr>
        <w:spacing w:after="60" w:line="276"/>
      </w:pPr>
      <w:r>
        <w:rPr>
          <w:b/>
          <w:bCs/>
        </w:rPr>
        <w:t xml:space="preserve">ISO/IEC 27001:2022</w:t>
      </w:r>
      <w:r>
        <w:t xml:space="preserve"> — Annex A: 93 controls across 4 themes (A.5 Organizational, A.6 People, A.7 Physical, A.8 Technological).</w:t>
      </w:r>
    </w:p>
    <w:p>
      <w:pPr>
        <w:pStyle w:val="ListParagraph"/>
        <w:numPr>
          <w:ilvl w:val="0"/>
          <w:numId w:val="5"/>
        </w:numPr>
        <w:spacing w:after="60" w:line="276"/>
      </w:pPr>
      <w:r>
        <w:rPr>
          <w:b/>
          <w:bCs/>
        </w:rPr>
        <w:t xml:space="preserve">ISO/IEC 42001:2023</w:t>
      </w:r>
      <w:r>
        <w:t xml:space="preserve"> — the AI Management System (AIMS) standard; used to strengthen AI-specific governance/oversight mappings.</w:t>
      </w:r>
    </w:p>
    <w:p>
      <w:pPr>
        <w:pStyle w:val="ListParagraph"/>
        <w:numPr>
          <w:ilvl w:val="0"/>
          <w:numId w:val="5"/>
        </w:numPr>
        <w:spacing w:after="60" w:line="276"/>
      </w:pPr>
      <w:r>
        <w:rPr>
          <w:b/>
          <w:bCs/>
        </w:rPr>
        <w:t xml:space="preserve">NIST AI RMF 1.0 (NIST AI 100-1)</w:t>
      </w:r>
      <w:r>
        <w:t xml:space="preserve"> — functions: Govern, Map, Measure, Manage.</w:t>
      </w:r>
    </w:p>
    <w:p>
      <w:pPr>
        <w:pStyle w:val="ListParagraph"/>
        <w:numPr>
          <w:ilvl w:val="0"/>
          <w:numId w:val="5"/>
        </w:numPr>
        <w:spacing w:after="60" w:line="276"/>
      </w:pPr>
      <w:r>
        <w:rPr>
          <w:b/>
          <w:bCs/>
        </w:rPr>
        <w:t xml:space="preserve">UK GDPR &amp; Data Protection Act 2018</w:t>
      </w:r>
      <w:r>
        <w:t xml:space="preserve"> — enforced by the ICO.</w:t>
      </w:r>
    </w:p>
    <w:p>
      <w:pPr>
        <w:pStyle w:val="ListParagraph"/>
        <w:numPr>
          <w:ilvl w:val="0"/>
          <w:numId w:val="5"/>
        </w:numPr>
        <w:spacing w:after="60" w:line="276"/>
      </w:pPr>
      <w:r>
        <w:rPr>
          <w:b/>
          <w:bCs/>
        </w:rPr>
        <w:t xml:space="preserve">NCSC guidance</w:t>
      </w:r>
      <w:r>
        <w:t xml:space="preserve"> — UK National Cyber Security Centre AI/LLM and secure-development guidance.</w:t>
      </w:r>
    </w:p>
    <w:p>
      <w:pPr>
        <w:pStyle w:val="Heading2"/>
      </w:pPr>
      <w:r>
        <w:t xml:space="preserve">Mapping table</w:t>
      </w:r>
    </w:p>
    <w:tbl>
      <w:tblPr>
        <w:tblW w:type="dxa" w:w="12960"/>
        <w:tblBorders>
          <w:top w:val="single" w:color="auto" w:sz="4"/>
          <w:left w:val="single" w:color="auto" w:sz="4"/>
          <w:bottom w:val="single" w:color="auto" w:sz="4"/>
          <w:right w:val="single" w:color="auto" w:sz="4"/>
          <w:insideH w:val="single" w:color="auto" w:sz="4"/>
          <w:insideV w:val="single" w:color="auto" w:sz="4"/>
        </w:tblBorders>
      </w:tblPr>
      <w:tblGrid>
        <w:gridCol w:w="2700"/>
        <w:gridCol w:w="2900"/>
        <w:gridCol w:w="1300"/>
        <w:gridCol w:w="2860"/>
        <w:gridCol w:w="2100"/>
        <w:gridCol w:w="1100"/>
      </w:tblGrid>
      <w:tr>
        <w:trPr>
          <w:tblHeader/>
        </w:trPr>
        <w:tc>
          <w:tcPr>
            <w:tcW w:type="dxa" w:w="27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Policy area (clauses)</w:t>
            </w:r>
          </w:p>
        </w:tc>
        <w:tc>
          <w:tcPr>
            <w:tcW w:type="dxa" w:w="29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ISO/IEC 27001:2022 Annex A</w:t>
            </w:r>
          </w:p>
        </w:tc>
        <w:tc>
          <w:tcPr>
            <w:tcW w:type="dxa" w:w="13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NIST AI RMF</w:t>
            </w:r>
          </w:p>
        </w:tc>
        <w:tc>
          <w:tcPr>
            <w:tcW w:type="dxa" w:w="28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UK GDPR / DPA 2018 / ICO</w:t>
            </w:r>
          </w:p>
        </w:tc>
        <w:tc>
          <w:tcPr>
            <w:tcW w:type="dxa" w:w="21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NCSC</w:t>
            </w:r>
          </w:p>
        </w:tc>
        <w:tc>
          <w:tcPr>
            <w:tcW w:type="dxa" w:w="11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ISO/IEC 42001</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Governance baseline — Policy itself; roles; legal/regulatory obligations (§1, §3, §16)</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A.5.1 Policies for information security; A.5.31 Identification of legal, statutory, regulatory and contractual requirements</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GOVERN</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UK GDPR Art. 5 Principles relating to processing</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 ChatGPT and large language models: what's the risk?; NCSC Guidelines for secure AI system development</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Yes — establishing an AIMS</w:t>
            </w:r>
          </w:p>
        </w:tc>
      </w:tr>
      <w:tr>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Sanctioned tooling only — Approved tools, no-training + DPA or on-prem, gateway (§4, §5, §7)</w:t>
            </w:r>
          </w:p>
        </w:tc>
        <w:tc>
          <w:tcPr>
            <w:tcW w:type="dxa" w:w="2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A.5.10 Acceptable use of information and other associated assets; A.5.19 Information security in supplier relationships; A.5.23 Information security for use of cloud services</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GOVERN; MAP</w:t>
            </w:r>
          </w:p>
        </w:tc>
        <w:tc>
          <w:tcPr>
            <w:tcW w:type="dxa" w:w="28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UK GDPR Art. 28 Processor (contracts / DPA terms); Art. 32 Security of processing; Chapter V (Arts. 44-49) International transfers</w:t>
            </w:r>
          </w:p>
        </w:tc>
        <w:tc>
          <w:tcPr>
            <w:tcW w:type="dxa" w:w="2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NCSC — ChatGPT and large language models: what's the risk?; NCSC Guidelines for secure AI system development</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Yes — AIMS supplier oversight</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Block public-LLM egress; detect shadow AI; inventory AI (§7, §5)</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A.5.9 Inventory of information and other associated assets; A.8.16 Monitoring activities; A.5.23 Information security for use of cloud services</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GOVERN; MAP; MANAGE</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UK GDPR Art. 32 Security of processing</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 ChatGPT and large language models: what's the risk?</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r>
      <w:tr>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Data classification &amp; handling (§6)</w:t>
            </w:r>
          </w:p>
        </w:tc>
        <w:tc>
          <w:tcPr>
            <w:tcW w:type="dxa" w:w="2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A.5.12 Classification of information; A.5.10 Acceptable use of information and other associated assets; A.5.34 Privacy and protection of PII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GOVERN; MAP</w:t>
            </w:r>
          </w:p>
        </w:tc>
        <w:tc>
          <w:tcPr>
            <w:tcW w:type="dxa" w:w="28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UK GDPR Art. 5; Art. 25 Data protection by design and by default</w:t>
            </w:r>
          </w:p>
        </w:tc>
        <w:tc>
          <w:tcPr>
            <w:tcW w:type="dxa" w:w="2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NCSC — ChatGPT and large language models: what's the risk?</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DLP &amp; data-in-transit on AI inputs (§7)</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A.5.14 Information transfer; A.8.24 Use of cryptography; A.8.16 Monitoring activities</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MEASURE; MANAGE</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UK GDPR Art. 32 Security of processing</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 ChatGPT and large language models: what's the risk?</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r>
      <w:tr>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Human-in-the-loop &amp; change control — review, sandbox-before-prod, named owner (§8, §9)</w:t>
            </w:r>
          </w:p>
        </w:tc>
        <w:tc>
          <w:tcPr>
            <w:tcW w:type="dxa" w:w="2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A.8.31 Separation of development, test and production environments; A.8.32 Change management</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MANAGE; MEASURE</w:t>
            </w:r>
          </w:p>
        </w:tc>
        <w:tc>
          <w:tcPr>
            <w:tcW w:type="dxa" w:w="28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w:t>
            </w:r>
          </w:p>
        </w:tc>
        <w:tc>
          <w:tcPr>
            <w:tcW w:type="dxa" w:w="2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NCSC Guidelines for secure AI system development</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Yes — AIMS human oversight</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Least privilege / no standing admin for AI/agents (§8.4)</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A.8.2 Privileged access rights</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MANAGE</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UK GDPR Art. 32 Security of processing</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Guidelines for secure AI system development; NCSC Principles for the security of machine learning</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r>
      <w:tr>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Secure-development controls for AI code — SAST, secret scanning, review gates (§8.6)</w:t>
            </w:r>
          </w:p>
        </w:tc>
        <w:tc>
          <w:tcPr>
            <w:tcW w:type="dxa" w:w="2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A.8.25 Secure development life cycle; A.8.26 Application security requirements; A.8.28 Secure coding</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MEASURE; MANAGE</w:t>
            </w:r>
          </w:p>
        </w:tc>
        <w:tc>
          <w:tcPr>
            <w:tcW w:type="dxa" w:w="28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w:t>
            </w:r>
          </w:p>
        </w:tc>
        <w:tc>
          <w:tcPr>
            <w:tcW w:type="dxa" w:w="2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NCSC Guidelines for secure AI system development</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Dependency vetting / anti-slopsquatting (§8.5)</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A.5.19 Information security in supplier relationships; A.8.25 Secure development life cycle</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MANAGE</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Guidelines for secure AI system development</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r>
      <w:tr>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Prompt-injection defence; untrusted input; agent approval (§8.7, §9)</w:t>
            </w:r>
          </w:p>
        </w:tc>
        <w:tc>
          <w:tcPr>
            <w:tcW w:type="dxa" w:w="2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A.8.16 Monitoring activities; A.8.2 Privileged access rights</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MAP; MANAGE</w:t>
            </w:r>
          </w:p>
        </w:tc>
        <w:tc>
          <w:tcPr>
            <w:tcW w:type="dxa" w:w="28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w:t>
            </w:r>
          </w:p>
        </w:tc>
        <w:tc>
          <w:tcPr>
            <w:tcW w:type="dxa" w:w="2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NCSC Guidelines for secure AI system development; NCSC Principles for the security of machine learning</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Yes — AIMS agentic risk-treatment</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Logging, monitoring &amp; audit of AI use (§11, §12)</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A.8.15 Logging; A.8.16 Monitoring activities</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GOVERN; MEASURE</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UK GDPR Art. 32 Security of processing; Art. 33 Notification of a personal data breach to the supervisory authority (ICO, 72 hours)</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Guidelines for secure AI system development</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Yes — AIMS logging/eval</w:t>
            </w:r>
          </w:p>
        </w:tc>
      </w:tr>
      <w:tr>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DPIA before AI processing of personal data; lawful basis; transfers (§10)</w:t>
            </w:r>
          </w:p>
        </w:tc>
        <w:tc>
          <w:tcPr>
            <w:tcW w:type="dxa" w:w="29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A.5.31 Identification of legal, statutory, regulatory and contractual requirements; A.5.34 Privacy and protection of PII</w:t>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GOVERN; MAP</w:t>
            </w:r>
          </w:p>
        </w:tc>
        <w:tc>
          <w:tcPr>
            <w:tcW w:type="dxa" w:w="28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UK GDPR Art. 35 Data protection impact assessment (DPIA); Art. 6 Lawfulness of processing; Art. 25 Data protection by design and by default; Chapter V (Arts. 44-49) International transfers</w:t>
            </w:r>
          </w:p>
        </w:tc>
        <w:tc>
          <w:tcPr>
            <w:tcW w:type="dxa" w:w="2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w:t>
            </w:r>
          </w:p>
        </w:tc>
        <w:tc>
          <w:tcPr>
            <w:tcW w:type="dxa" w:w="11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Yes — AIMS impact assessment</w:t>
            </w:r>
          </w:p>
        </w:tc>
      </w:tr>
      <w:tr>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Training &amp; awareness with attestation (§13)</w:t>
            </w:r>
          </w:p>
        </w:tc>
        <w:tc>
          <w:tcPr>
            <w:tcW w:type="dxa" w:w="29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A.6.3 Information security awareness, education and training</w:t>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GOVERN</w:t>
            </w:r>
          </w:p>
        </w:tc>
        <w:tc>
          <w:tcPr>
            <w:tcW w:type="dxa" w:w="28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w:t>
            </w:r>
          </w:p>
        </w:tc>
        <w:tc>
          <w:tcPr>
            <w:tcW w:type="dxa" w:w="2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NCSC — ChatGPT and large language models: what's the risk?</w:t>
            </w:r>
          </w:p>
        </w:tc>
        <w:tc>
          <w:tcPr>
            <w:tcW w:type="dxa" w:w="11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Yes — AIMS competence/awareness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8A72" w:sz="4"/>
              <w:left w:val="single" w:color="5B8A72" w:sz="16"/>
              <w:bottom w:val="single" w:color="5B8A72" w:sz="4"/>
              <w:right w:val="single" w:color="5B8A72" w:sz="4"/>
            </w:tcBorders>
            <w:shd w:fill="E8F0EE" w:val="clear"/>
            <w:tcMar>
              <w:top w:type="dxa" w:w="120"/>
              <w:left w:type="dxa" w:w="160"/>
              <w:bottom w:type="dxa" w:w="120"/>
              <w:right w:type="dxa" w:w="160"/>
            </w:tcMar>
          </w:tcPr>
          <w:p>
            <w:pPr>
              <w:spacing w:after="60"/>
            </w:pPr>
            <w:r>
              <w:rPr>
                <w:b/>
                <w:bCs/>
                <w:color w:val="5B8A72"/>
                <w:sz w:val="20"/>
                <w:szCs w:val="20"/>
              </w:rPr>
              <w:t xml:space="preserve">Mapping integrity</w:t>
            </w:r>
          </w:p>
          <w:p>
            <w:pPr>
              <w:spacing w:after="40" w:line="264"/>
            </w:pPr>
            <w:r>
              <w:t xml:space="preserve">Every control ID and title above is reproduced verbatim from {Company Name}'s verified control-mapping source and was web-verified against the standards. Do not edit a control ID or title without re-verifying it.</w:t>
            </w:r>
          </w:p>
        </w:tc>
      </w:tr>
    </w:tbl>
    <w:p>
      <w:pPr>
        <w:sectPr>
          <w:headerReference w:type="default" r:id="rId9"/>
          <w:footerReference w:type="default" r:id="rId10"/>
          <w:type w:val="nextPage"/>
          <w:pgSz w:w="15840" w:h="12240" w:orient="landscape"/>
          <w:pgMar w:top="1440" w:right="1440" w:bottom="1440" w:left="1440" w:header="708" w:footer="708" w:gutter="0"/>
          <w:pgNumType/>
          <w:docGrid w:linePitch="360"/>
        </w:sectPr>
      </w:pPr>
    </w:p>
    <w:p>
      <w:pPr>
        <w:pStyle w:val="Heading1"/>
      </w:pPr>
      <w:r>
        <w:t xml:space="preserve">Sign-off and attestation</w:t>
      </w:r>
    </w:p>
    <w:p>
      <w:pPr>
        <w:pStyle w:val="Heading2"/>
      </w:pPr>
      <w:r>
        <w:t xml:space="preserve">Policy approval (organisation)</w:t>
      </w:r>
    </w:p>
    <w:p>
      <w:pPr>
        <w:spacing w:after="120" w:line="276"/>
      </w:pPr>
      <w:r>
        <w:t xml:space="preserve">By signing, the named approvers adopt this policy as binding on {Company Name}.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2300"/>
        <w:gridCol w:w="2700"/>
        <w:gridCol w:w="1300"/>
      </w:tblGrid>
      <w:tr>
        <w:trPr>
          <w:tblHeader/>
        </w:trPr>
        <w:tc>
          <w:tcPr>
            <w:tcW w:type="dxa" w:w="30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Role</w:t>
            </w:r>
          </w:p>
        </w:tc>
        <w:tc>
          <w:tcPr>
            <w:tcW w:type="dxa" w:w="23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Name</w:t>
            </w:r>
          </w:p>
        </w:tc>
        <w:tc>
          <w:tcPr>
            <w:tcW w:type="dxa" w:w="27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Signature</w:t>
            </w:r>
          </w:p>
        </w:tc>
        <w:tc>
          <w:tcPr>
            <w:tcW w:type="dxa" w:w="13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Date</w:t>
            </w:r>
          </w:p>
        </w:tc>
      </w:tr>
      <w:tr>
        <w:tc>
          <w:tcPr>
            <w:tcW w:type="dxa" w:w="30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Policy Owner ({e.g. CISO})</w:t>
            </w:r>
          </w:p>
        </w:tc>
        <w:tc>
          <w:tcPr>
            <w:tcW w:type="dxa" w:w="2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{Name}</w:t>
            </w:r>
          </w:p>
        </w:tc>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
            </w:r>
          </w:p>
        </w:tc>
      </w:tr>
      <w:tr>
        <w:tc>
          <w:tcPr>
            <w:tcW w:type="dxa" w:w="30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Data Protection Officer</w:t>
            </w:r>
          </w:p>
        </w:tc>
        <w:tc>
          <w:tcPr>
            <w:tcW w:type="dxa" w:w="2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{Name}</w:t>
            </w:r>
          </w:p>
        </w:tc>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
            </w:r>
          </w:p>
        </w:tc>
      </w:tr>
      <w:tr>
        <w:tc>
          <w:tcPr>
            <w:tcW w:type="dxa" w:w="30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Executive sponsor / SIRO</w:t>
            </w:r>
          </w:p>
        </w:tc>
        <w:tc>
          <w:tcPr>
            <w:tcW w:type="dxa" w:w="2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{Name}</w:t>
            </w:r>
          </w:p>
        </w:tc>
        <w:tc>
          <w:tcPr>
            <w:tcW w:type="dxa" w:w="27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
            </w:r>
          </w:p>
        </w:tc>
        <w:tc>
          <w:tcPr>
            <w:tcW w:type="dxa" w:w="13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
            </w:r>
          </w:p>
        </w:tc>
      </w:tr>
      <w:tr>
        <w:tc>
          <w:tcPr>
            <w:tcW w:type="dxa" w:w="306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Legal review confirmed by</w:t>
            </w:r>
          </w:p>
        </w:tc>
        <w:tc>
          <w:tcPr>
            <w:tcW w:type="dxa" w:w="2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{Name}</w:t>
            </w:r>
          </w:p>
        </w:tc>
        <w:tc>
          <w:tcPr>
            <w:tcW w:type="dxa" w:w="27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
            </w:r>
          </w:p>
        </w:tc>
        <w:tc>
          <w:tcPr>
            <w:tcW w:type="dxa" w:w="1300"/>
            <w:tcBorders>
              <w:top w:val="single" w:color="CFD8DC" w:sz="1"/>
              <w:left w:val="single" w:color="CFD8DC" w:sz="1"/>
              <w:bottom w:val="single" w:color="CFD8DC" w:sz="1"/>
              <w:right w:val="single" w:color="CFD8DC" w:sz="1"/>
            </w:tcBorders>
            <w:shd w:fill="EEF2F1" w:val="clear"/>
            <w:tcMar>
              <w:top w:type="dxa" w:w="80"/>
              <w:left w:type="dxa" w:w="120"/>
              <w:bottom w:type="dxa" w:w="80"/>
              <w:right w:type="dxa" w:w="120"/>
            </w:tcMar>
          </w:tcPr>
          <w:p>
            <w:pPr>
              <w:spacing w:after="0"/>
            </w:pPr>
            <w:r>
              <w:t xml:space="preserve"/>
            </w:r>
          </w:p>
        </w:tc>
      </w:tr>
    </w:tbl>
    <w:p>
      <w:pPr>
        <w:pStyle w:val="Heading2"/>
      </w:pPr>
      <w:r>
        <w:t xml:space="preserve">Worker attestation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756" w:sz="4"/>
              <w:left w:val="single" w:color="2E4756" w:sz="16"/>
              <w:bottom w:val="single" w:color="2E4756" w:sz="4"/>
              <w:right w:val="single" w:color="2E4756" w:sz="4"/>
            </w:tcBorders>
            <w:shd w:fill="F4F6F5" w:val="clear"/>
            <w:tcMar>
              <w:top w:type="dxa" w:w="120"/>
              <w:left w:type="dxa" w:w="160"/>
              <w:bottom w:type="dxa" w:w="120"/>
              <w:right w:type="dxa" w:w="160"/>
            </w:tcMar>
          </w:tcPr>
          <w:p>
            <w:pPr>
              <w:spacing w:after="60"/>
            </w:pPr>
            <w:r>
              <w:rPr>
                <w:b/>
                <w:bCs/>
                <w:color w:val="2E4756"/>
                <w:sz w:val="20"/>
                <w:szCs w:val="20"/>
              </w:rPr>
              <w:t xml:space="preserve">Attestation statement</w:t>
            </w:r>
          </w:p>
          <w:p>
            <w:pPr>
              <w:spacing w:after="40" w:line="264"/>
            </w:pPr>
            <w:r>
              <w:t xml:space="preserve">I confirm that I have read and understood the {Company Name} Acceptable Use of AI in IT policy, and I agree to comply with it. I understand that completion of the AI Acceptable Use training is recorded as my attestation, and that breach may be treated as a disciplinary matter.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4000"/>
        <w:gridCol w:w="2000"/>
      </w:tblGrid>
      <w:tr>
        <w:trPr>
          <w:tblHeader/>
        </w:trPr>
        <w:tc>
          <w:tcPr>
            <w:tcW w:type="dxa" w:w="336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Worker name</w:t>
            </w:r>
          </w:p>
        </w:tc>
        <w:tc>
          <w:tcPr>
            <w:tcW w:type="dxa" w:w="40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Signature / training record</w:t>
            </w:r>
          </w:p>
        </w:tc>
        <w:tc>
          <w:tcPr>
            <w:tcW w:type="dxa" w:w="2000"/>
            <w:tcBorders>
              <w:top w:val="single" w:color="FFFFFF" w:sz="1"/>
              <w:left w:val="single" w:color="FFFFFF" w:sz="1"/>
              <w:bottom w:val="single" w:color="FFFFFF" w:sz="1"/>
              <w:right w:val="single" w:color="FFFFFF" w:sz="1"/>
            </w:tcBorders>
            <w:shd w:fill="2E4756" w:val="clear"/>
            <w:tcMar>
              <w:top w:type="dxa" w:w="80"/>
              <w:left w:type="dxa" w:w="120"/>
              <w:bottom w:type="dxa" w:w="80"/>
              <w:right w:type="dxa" w:w="120"/>
            </w:tcMar>
            <w:vAlign w:val="center"/>
          </w:tcPr>
          <w:p>
            <w:pPr>
              <w:spacing w:after="0"/>
            </w:pPr>
            <w:r>
              <w:rPr>
                <w:b/>
                <w:bCs/>
                <w:color w:val="FFFFFF"/>
                <w:sz w:val="19"/>
                <w:szCs w:val="19"/>
              </w:rPr>
              <w:t xml:space="preserve">Date</w:t>
            </w:r>
          </w:p>
        </w:tc>
      </w:tr>
      <w:tr>
        <w:tc>
          <w:tcPr>
            <w:tcW w:type="dxa" w:w="336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{Name}</w:t>
            </w:r>
          </w:p>
        </w:tc>
        <w:tc>
          <w:tcPr>
            <w:tcW w:type="dxa" w:w="4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{attestation reference}</w:t>
            </w:r>
          </w:p>
        </w:tc>
        <w:tc>
          <w:tcPr>
            <w:tcW w:type="dxa" w:w="2000"/>
            <w:tcBorders>
              <w:top w:val="single" w:color="CFD8DC" w:sz="1"/>
              <w:left w:val="single" w:color="CFD8DC" w:sz="1"/>
              <w:bottom w:val="single" w:color="CFD8DC" w:sz="1"/>
              <w:right w:val="single" w:color="CFD8DC" w:sz="1"/>
            </w:tcBorders>
            <w:shd w:fill="FFFFFF" w:val="clear"/>
            <w:tcMar>
              <w:top w:type="dxa" w:w="80"/>
              <w:left w:type="dxa" w:w="120"/>
              <w:bottom w:type="dxa" w:w="80"/>
              <w:right w:type="dxa" w:w="120"/>
            </w:tcMar>
          </w:tcPr>
          <w:p>
            <w:pPr>
              <w:spacing w:after="0"/>
            </w:pPr>
            <w:r>
              <w:t xml:space="preserve"/>
            </w:r>
          </w:p>
        </w:tc>
      </w:tr>
    </w:tbl>
    <w:p>
      <w:pPr>
        <w:pStyle w:val="Heading1"/>
      </w:pPr>
      <w:r>
        <w:t xml:space="preserve">Adoption checklist — what the customer must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4"/>
              <w:left w:val="single" w:color="C0392B" w:sz="16"/>
              <w:bottom w:val="single" w:color="C0392B" w:sz="4"/>
              <w:right w:val="single" w:color="C0392B" w:sz="4"/>
            </w:tcBorders>
            <w:shd w:fill="FBE9E7" w:val="clear"/>
            <w:tcMar>
              <w:top w:type="dxa" w:w="120"/>
              <w:left w:type="dxa" w:w="160"/>
              <w:bottom w:type="dxa" w:w="120"/>
              <w:right w:type="dxa" w:w="160"/>
            </w:tcMar>
          </w:tcPr>
          <w:p>
            <w:pPr>
              <w:spacing w:after="60"/>
            </w:pPr>
            <w:r>
              <w:rPr>
                <w:b/>
                <w:bCs/>
                <w:color w:val="C0392B"/>
                <w:sz w:val="20"/>
                <w:szCs w:val="20"/>
              </w:rPr>
              <w:t xml:space="preserve">What {Company Name} must complete and get legal sign-off on</w:t>
            </w:r>
          </w:p>
          <w:p>
            <w:pPr>
              <w:spacing w:after="40" w:line="264"/>
            </w:pPr>
            <w:r>
              <w:t xml:space="preserve">Before publishing, {Company Name} must: replace every {placeholder} (company name, named role-holders for each RACI line, effective/review dates, contact points, repository location, retention period, exception time-limit and disciplinary wording); confirm the data-classification class names match its existing scheme (Section 6); populate the Approved AI Tools Register with its actual sanctioned tools and confirm each has no-training terms plus a DPA, or is private/on-prem (Section 5); confirm the cross-referenced policies and IR plan exist and are correctly named (Sections 1.5, 12); and have a qualified legal/data-protection adviser review and sign off the whole document.</w:t>
            </w:r>
          </w:p>
          <w:p>
            <w:pPr>
              <w:spacing w:after="40" w:line="264"/>
            </w:pPr>
            <w:r>
              <w:t xml:space="preserve">Pay particular attention to: the disciplinary/sanctions wording (Section 15); the DPIA, lawful-basis, international-transfer and ICO 72-hour breach provisions (Sections 10 and 12); the lawfulness and proportionality of worker monitoring (Section 11.4); and any customer-facing or automated-decision use of AI (Section 9.4).</w:t>
            </w:r>
          </w:p>
          <w:p>
            <w:pPr>
              <w:spacing w:after="40" w:line="264"/>
            </w:pPr>
            <w:r>
              <w:t xml:space="preserve">This template is not legal advice; it does not create a lawful basis or a DPA by itself, and the control mapping supports but does not by itself constitute ISO/IEC 27001, 42001 or UK GDPR compliance. All factual figures cited in this document are drawn from {Company Name}'s verified Sources register and must not be altered without re-verification.</w:t>
            </w:r>
          </w:p>
        </w:tc>
      </w:tr>
    </w:tbl>
    <w:p>
      <w:pPr>
        <w:pBdr>
          <w:bottom w:val="single" w:color="5B8A72" w:sz="8" w:space="1"/>
        </w:pBdr>
        <w:spacing w:after="120" w:before="60"/>
      </w:pPr>
      <w:r>
        <w:t xml:space="preserve"/>
      </w:r>
    </w:p>
    <w:p>
      <w:pPr>
        <w:spacing w:after="120" w:before="0" w:line="276"/>
      </w:pPr>
      <w:r>
        <w:rPr>
          <w:i/>
          <w:iCs/>
          <w:color w:val="78909C"/>
          <w:sz w:val="18"/>
          <w:szCs w:val="18"/>
        </w:rPr>
        <w:t xml:space="preserve">Produced by Onionio — private, self-hostable AI security — for {Company Name}. Template v1.0. Not legal advice; requires completion and legal sign-off before publication.</w:t>
      </w:r>
    </w:p>
    <w:sectPr>
      <w:headerReference w:type="default" r:id="rId11"/>
      <w:footerReference w:type="default" r:id="rId12"/>
      <w:type w:val="nextPage"/>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D8DC" w:sz="6" w:space="4"/>
      </w:pBdr>
      <w:tabs>
        <w:tab w:val="center" w:pos="4680"/>
        <w:tab w:val="right" w:pos="9360"/>
      </w:tabs>
    </w:pPr>
    <w:r>
      <w:rPr>
        <w:color w:val="90A4AE"/>
        <w:sz w:val="15"/>
        <w:szCs w:val="15"/>
      </w:rPr>
      <w:t xml:space="preserve">Internal — Template (not legal advice)</w:t>
    </w:r>
    <w:r>
      <w:rPr>
        <w:color w:val="90A4AE"/>
        <w:sz w:val="15"/>
        <w:szCs w:val="15"/>
      </w:rPr>
      <w:t xml:space="preserve">	Onionio</w:t>
    </w:r>
    <w:r>
      <w:rPr>
        <w:color w:val="90A4AE"/>
        <w:sz w:val="15"/>
        <w:szCs w:val="15"/>
      </w:rPr>
      <w:t xml:space="preserve">	Page </w:t>
    </w:r>
    <w:r>
      <w:rPr>
        <w:color w:val="90A4AE"/>
        <w:sz w:val="15"/>
        <w:szCs w:val="15"/>
      </w:rPr>
      <w:fldChar w:fldCharType="begin"/>
      <w:instrText xml:space="preserve">PAGE</w:instrText>
      <w:fldChar w:fldCharType="separate"/>
      <w:fldChar w:fldCharType="end"/>
    </w:r>
    <w:r>
      <w:rPr>
        <w:color w:val="90A4AE"/>
        <w:sz w:val="15"/>
        <w:szCs w:val="15"/>
      </w:rPr>
      <w:t xml:space="preserve"> of </w:t>
    </w:r>
    <w:r>
      <w:rPr>
        <w:color w:val="90A4AE"/>
        <w:sz w:val="15"/>
        <w:szCs w:val="15"/>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D8DC" w:sz="6" w:space="4"/>
      </w:pBdr>
      <w:tabs>
        <w:tab w:val="center" w:pos="4680"/>
        <w:tab w:val="right" w:pos="9360"/>
      </w:tabs>
    </w:pPr>
    <w:r>
      <w:rPr>
        <w:color w:val="90A4AE"/>
        <w:sz w:val="15"/>
        <w:szCs w:val="15"/>
      </w:rPr>
      <w:t xml:space="preserve">Internal — Template (not legal advice)</w:t>
    </w:r>
    <w:r>
      <w:rPr>
        <w:color w:val="90A4AE"/>
        <w:sz w:val="15"/>
        <w:szCs w:val="15"/>
      </w:rPr>
      <w:t xml:space="preserve">	Onionio</w:t>
    </w:r>
    <w:r>
      <w:rPr>
        <w:color w:val="90A4AE"/>
        <w:sz w:val="15"/>
        <w:szCs w:val="15"/>
      </w:rPr>
      <w:t xml:space="preserve">	Page </w:t>
    </w:r>
    <w:r>
      <w:rPr>
        <w:color w:val="90A4AE"/>
        <w:sz w:val="15"/>
        <w:szCs w:val="15"/>
      </w:rPr>
      <w:fldChar w:fldCharType="begin"/>
      <w:instrText xml:space="preserve">PAGE</w:instrText>
      <w:fldChar w:fldCharType="separate"/>
      <w:fldChar w:fldCharType="end"/>
    </w:r>
    <w:r>
      <w:rPr>
        <w:color w:val="90A4AE"/>
        <w:sz w:val="15"/>
        <w:szCs w:val="15"/>
      </w:rPr>
      <w:t xml:space="preserve"> of </w:t>
    </w:r>
    <w:r>
      <w:rPr>
        <w:color w:val="90A4AE"/>
        <w:sz w:val="15"/>
        <w:szCs w:val="15"/>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D8DC" w:sz="6" w:space="4"/>
      </w:pBdr>
      <w:tabs>
        <w:tab w:val="center" w:pos="4680"/>
        <w:tab w:val="right" w:pos="9360"/>
      </w:tabs>
    </w:pPr>
    <w:r>
      <w:rPr>
        <w:color w:val="90A4AE"/>
        <w:sz w:val="15"/>
        <w:szCs w:val="15"/>
      </w:rPr>
      <w:t xml:space="preserve">Internal — Template (not legal advice)</w:t>
    </w:r>
    <w:r>
      <w:rPr>
        <w:color w:val="90A4AE"/>
        <w:sz w:val="15"/>
        <w:szCs w:val="15"/>
      </w:rPr>
      <w:t xml:space="preserve">	Onionio</w:t>
    </w:r>
    <w:r>
      <w:rPr>
        <w:color w:val="90A4AE"/>
        <w:sz w:val="15"/>
        <w:szCs w:val="15"/>
      </w:rPr>
      <w:t xml:space="preserve">	Page </w:t>
    </w:r>
    <w:r>
      <w:rPr>
        <w:color w:val="90A4AE"/>
        <w:sz w:val="15"/>
        <w:szCs w:val="15"/>
      </w:rPr>
      <w:fldChar w:fldCharType="begin"/>
      <w:instrText xml:space="preserve">PAGE</w:instrText>
      <w:fldChar w:fldCharType="separate"/>
      <w:fldChar w:fldCharType="end"/>
    </w:r>
    <w:r>
      <w:rPr>
        <w:color w:val="90A4AE"/>
        <w:sz w:val="15"/>
        <w:szCs w:val="15"/>
      </w:rPr>
      <w:t xml:space="preserve"> of </w:t>
    </w:r>
    <w:r>
      <w:rPr>
        <w:color w:val="90A4AE"/>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B8A72" w:sz="6" w:space="4"/>
      </w:pBdr>
      <w:tabs>
        <w:tab w:val="right" w:pos="9360"/>
      </w:tabs>
      <w:spacing w:after="120"/>
    </w:pPr>
    <w:r>
      <w:rPr>
        <w:b/>
        <w:bCs/>
        <w:color w:val="5B8A72"/>
        <w:sz w:val="16"/>
        <w:szCs w:val="16"/>
      </w:rPr>
      <w:t xml:space="preserve">Onionio</w:t>
    </w:r>
    <w:r>
      <w:rPr>
        <w:color w:val="78909C"/>
        <w:sz w:val="16"/>
        <w:szCs w:val="16"/>
      </w:rPr>
      <w:t xml:space="preserve">	Acceptable Use of AI in IT — {Company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B8A72" w:sz="6" w:space="4"/>
      </w:pBdr>
      <w:tabs>
        <w:tab w:val="right" w:pos="9360"/>
      </w:tabs>
      <w:spacing w:after="120"/>
    </w:pPr>
    <w:r>
      <w:rPr>
        <w:b/>
        <w:bCs/>
        <w:color w:val="5B8A72"/>
        <w:sz w:val="16"/>
        <w:szCs w:val="16"/>
      </w:rPr>
      <w:t xml:space="preserve">Onionio</w:t>
    </w:r>
    <w:r>
      <w:rPr>
        <w:color w:val="78909C"/>
        <w:sz w:val="16"/>
        <w:szCs w:val="16"/>
      </w:rPr>
      <w:t xml:space="preserve">	Acceptable Use of AI in IT — {Company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B8A72" w:sz="6" w:space="4"/>
      </w:pBdr>
      <w:tabs>
        <w:tab w:val="right" w:pos="9360"/>
      </w:tabs>
      <w:spacing w:after="120"/>
    </w:pPr>
    <w:r>
      <w:rPr>
        <w:b/>
        <w:bCs/>
        <w:color w:val="5B8A72"/>
        <w:sz w:val="16"/>
        <w:szCs w:val="16"/>
      </w:rPr>
      <w:t xml:space="preserve">Onionio</w:t>
    </w:r>
    <w:r>
      <w:rPr>
        <w:color w:val="78909C"/>
        <w:sz w:val="16"/>
        <w:szCs w:val="16"/>
      </w:rPr>
      <w:t xml:space="preserve">	Acceptable Use of AI in IT —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abstractNum w:abstractNumId="4" w15:restartNumberingAfterBreak="0">
    <w:multiLevelType w:val="hybridMultilevel"/>
    <w:lvl w:ilvl="0" w15:tentative="1">
      <w:start w:val="1"/>
      <w:numFmt w:val="decimal"/>
      <w:lvlText w:val="%1."/>
      <w:lvlJc w:val="left"/>
      <w:pPr>
        <w:ind w:left="540" w:hanging="280"/>
      </w:pPr>
    </w:lvl>
  </w:abstractNum>
  <w:abstractNum w:abstractNumId="5" w15:restartNumberingAfterBreak="0">
    <w:multiLevelType w:val="hybridMultilevel"/>
    <w:lvl w:ilvl="0" w15:tentative="1">
      <w:start w:val="1"/>
      <w:numFmt w:val="decimal"/>
      <w:lvlText w:val="%1."/>
      <w:lvlJc w:val="left"/>
      <w:pPr>
        <w:ind w:left="540" w:hanging="280"/>
      </w:pPr>
    </w:lvl>
  </w:abstractNum>
  <w:abstractNum w:abstractNumId="6" w15:restartNumberingAfterBreak="0">
    <w:multiLevelType w:val="hybridMultilevel"/>
    <w:lvl w:ilvl="0" w15:tentative="1">
      <w:start w:val="1"/>
      <w:numFmt w:val="decimal"/>
      <w:lvlText w:val="%1."/>
      <w:lvlJc w:val="left"/>
      <w:pPr>
        <w:ind w:left="540" w:hanging="280"/>
      </w:pPr>
    </w:lvl>
  </w:abstractNum>
  <w:abstractNum w:abstractNumId="7" w15:restartNumberingAfterBreak="0">
    <w:multiLevelType w:val="hybridMultilevel"/>
    <w:lvl w:ilvl="0" w15:tentative="1">
      <w:start w:val="1"/>
      <w:numFmt w:val="decimal"/>
      <w:lvlText w:val="%1."/>
      <w:lvlJc w:val="left"/>
      <w:pPr>
        <w:ind w:left="540" w:hanging="280"/>
      </w:pPr>
    </w:lvl>
  </w:abstractNum>
  <w:abstractNum w:abstractNumId="8" w15:restartNumberingAfterBreak="0">
    <w:multiLevelType w:val="hybridMultilevel"/>
    <w:lvl w:ilvl="0" w15:tentative="1">
      <w:start w:val="1"/>
      <w:numFmt w:val="decimal"/>
      <w:lvlText w:val="%1."/>
      <w:lvlJc w:val="left"/>
      <w:pPr>
        <w:ind w:left="540" w:hanging="280"/>
      </w:pPr>
    </w:lvl>
  </w:abstractNum>
  <w:abstractNum w:abstractNumId="9" w15:restartNumberingAfterBreak="0">
    <w:multiLevelType w:val="hybridMultilevel"/>
    <w:lvl w:ilvl="0" w15:tentative="1">
      <w:start w:val="1"/>
      <w:numFmt w:val="decimal"/>
      <w:lvlText w:val="%1."/>
      <w:lvlJc w:val="left"/>
      <w:pPr>
        <w:ind w:left="540" w:hanging="280"/>
      </w:pPr>
    </w:lvl>
  </w:abstractNum>
  <w:abstractNum w:abstractNumId="10" w15:restartNumberingAfterBreak="0">
    <w:multiLevelType w:val="hybridMultilevel"/>
    <w:lvl w:ilvl="0" w15:tentative="1">
      <w:start w:val="1"/>
      <w:numFmt w:val="decimal"/>
      <w:lvlText w:val="%1."/>
      <w:lvlJc w:val="left"/>
      <w:pPr>
        <w:ind w:left="540" w:hanging="280"/>
      </w:pPr>
    </w:lvl>
  </w:abstractNum>
  <w:abstractNum w:abstractNumId="11" w15:restartNumberingAfterBreak="0">
    <w:multiLevelType w:val="hybridMultilevel"/>
    <w:lvl w:ilvl="0" w15:tentative="1">
      <w:start w:val="1"/>
      <w:numFmt w:val="decimal"/>
      <w:lvlText w:val="%1."/>
      <w:lvlJc w:val="left"/>
      <w:pPr>
        <w:ind w:left="540" w:hanging="280"/>
      </w:pPr>
    </w:lvl>
  </w:abstractNum>
  <w:abstractNum w:abstractNumId="12" w15:restartNumberingAfterBreak="0">
    <w:multiLevelType w:val="hybridMultilevel"/>
    <w:lvl w:ilvl="0" w15:tentative="1">
      <w:start w:val="1"/>
      <w:numFmt w:val="decimal"/>
      <w:lvlText w:val="%1."/>
      <w:lvlJc w:val="left"/>
      <w:pPr>
        <w:ind w:left="540" w:hanging="280"/>
      </w:pPr>
    </w:lvl>
  </w:abstractNum>
  <w:abstractNum w:abstractNumId="13" w15:restartNumberingAfterBreak="0">
    <w:multiLevelType w:val="hybridMultilevel"/>
    <w:lvl w:ilvl="0" w15:tentative="1">
      <w:start w:val="1"/>
      <w:numFmt w:val="decimal"/>
      <w:lvlText w:val="%1."/>
      <w:lvlJc w:val="left"/>
      <w:pPr>
        <w:ind w:left="540" w:hanging="280"/>
      </w:pPr>
    </w:lvl>
  </w:abstractNum>
  <w:abstractNum w:abstractNumId="14" w15:restartNumberingAfterBreak="0">
    <w:multiLevelType w:val="hybridMultilevel"/>
    <w:lvl w:ilvl="0" w15:tentative="1">
      <w:start w:val="1"/>
      <w:numFmt w:val="decimal"/>
      <w:lvlText w:val="%1."/>
      <w:lvlJc w:val="left"/>
      <w:pPr>
        <w:ind w:left="540" w:hanging="280"/>
      </w:pPr>
    </w:lvl>
  </w:abstractNum>
  <w:abstractNum w:abstractNumId="15"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4"/>
    <w:lvlOverride w:ilvl="0">
      <w:startOverride w:val="1"/>
    </w:lvlOverride>
  </w:num>
  <w:num w:numId="3">
    <w:abstractNumId w:val="5"/>
    <w:lvlOverride w:ilvl="0">
      <w:startOverride w:val="1"/>
    </w:lvlOverride>
  </w:num>
  <w:num w:numId="4">
    <w:abstractNumId w:val="6"/>
    <w:lvlOverride w:ilvl="0">
      <w:startOverride w:val="1"/>
    </w:lvlOverride>
  </w:num>
  <w:num w:numId="5">
    <w:abstractNumId w:val="2"/>
    <w:lvlOverride w:ilvl="0">
      <w:startOverride w:val="1"/>
    </w:lvlOverride>
  </w:num>
  <w:num w:numId="6">
    <w:abstractNumId w:val="7"/>
    <w:lvlOverride w:ilvl="0">
      <w:startOverride w:val="1"/>
    </w:lvlOverride>
  </w:num>
  <w:num w:numId="7">
    <w:abstractNumId w:val="8"/>
    <w:lvlOverride w:ilvl="0">
      <w:startOverride w:val="1"/>
    </w:lvlOverride>
  </w:num>
  <w:num w:numId="8">
    <w:abstractNumId w:val="9"/>
    <w:lvlOverride w:ilvl="0">
      <w:startOverride w:val="1"/>
    </w:lvlOverride>
  </w:num>
  <w:num w:numId="9">
    <w:abstractNumId w:val="10"/>
    <w:lvlOverride w:ilvl="0">
      <w:startOverride w:val="1"/>
    </w:lvlOverride>
  </w:num>
  <w:num w:numId="10">
    <w:abstractNumId w:val="11"/>
    <w:lvlOverride w:ilvl="0">
      <w:startOverride w:val="1"/>
    </w:lvlOverride>
  </w:num>
  <w:num w:numId="11">
    <w:abstractNumId w:val="12"/>
    <w:lvlOverride w:ilvl="0">
      <w:startOverride w:val="1"/>
    </w:lvlOverride>
  </w:num>
  <w:num w:numId="12">
    <w:abstractNumId w:val="13"/>
    <w:lvlOverride w:ilvl="0">
      <w:startOverride w:val="1"/>
    </w:lvlOverride>
  </w:num>
  <w:num w:numId="13">
    <w:abstractNumId w:val="14"/>
    <w:lvlOverride w:ilvl="0">
      <w:startOverride w:val="1"/>
    </w:lvlOverride>
  </w:num>
  <w:num w:numId="14">
    <w:abstractNumId w:val="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12B3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5B8A72" w:sz="6" w:space="4"/>
      </w:pBdr>
      <w:spacing w:after="160" w:before="320"/>
      <w:outlineLvl w:val="0"/>
    </w:pPr>
    <w:rPr>
      <w:rFonts w:ascii="Calibri" w:cs="Calibri" w:eastAsia="Calibri" w:hAnsi="Calibri"/>
      <w:b/>
      <w:bCs/>
      <w:color w:val="2E4756"/>
      <w:sz w:val="30"/>
      <w:szCs w:val="30"/>
    </w:rPr>
  </w:style>
  <w:style w:type="paragraph" w:styleId="Heading2">
    <w:name w:val="Heading 2"/>
    <w:basedOn w:val="Normal"/>
    <w:next w:val="Normal"/>
    <w:qFormat/>
    <w:pPr>
      <w:spacing w:after="100" w:before="200"/>
      <w:outlineLvl w:val="1"/>
    </w:pPr>
    <w:rPr>
      <w:rFonts w:ascii="Calibri" w:cs="Calibri" w:eastAsia="Calibri" w:hAnsi="Calibri"/>
      <w:b/>
      <w:bCs/>
      <w:color w:val="33586B"/>
      <w:sz w:val="24"/>
      <w:szCs w:val="24"/>
    </w:rPr>
  </w:style>
  <w:style w:type="paragraph" w:styleId="Heading3">
    <w:name w:val="Heading 3"/>
    <w:basedOn w:val="Normal"/>
    <w:next w:val="Normal"/>
    <w:qFormat/>
    <w:pPr>
      <w:spacing w:after="80" w:before="140"/>
      <w:outlineLvl w:val="2"/>
    </w:pPr>
    <w:rPr>
      <w:rFonts w:ascii="Calibri" w:cs="Calibri" w:eastAsia="Calibri" w:hAnsi="Calibri"/>
      <w:b/>
      <w:bCs/>
      <w:color w:val="455A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of AI in IT</dc:title>
  <dc:creator>Onionio</dc:creator>
  <dc:description>AI Acceptable Use Policy template (Onionio)</dc:description>
  <cp:lastModifiedBy>Un-named</cp:lastModifiedBy>
  <cp:revision>1</cp:revision>
  <dcterms:created xsi:type="dcterms:W3CDTF">2026-06-17T13:11:34.756Z</dcterms:created>
  <dcterms:modified xsi:type="dcterms:W3CDTF">2026-06-17T13:11:34.757Z</dcterms:modified>
</cp:coreProperties>
</file>

<file path=docProps/custom.xml><?xml version="1.0" encoding="utf-8"?>
<Properties xmlns="http://schemas.openxmlformats.org/officeDocument/2006/custom-properties" xmlns:vt="http://schemas.openxmlformats.org/officeDocument/2006/docPropsVTypes"/>
</file>